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D315F" w14:textId="25D0F389" w:rsidR="00325DCD" w:rsidRPr="000F1D8D" w:rsidRDefault="00325DCD" w:rsidP="005452BF">
      <w:pPr>
        <w:spacing w:line="240" w:lineRule="exact"/>
        <w:jc w:val="both"/>
        <w:rPr>
          <w:rFonts w:ascii="Arial" w:hAnsi="Arial" w:cs="Arial"/>
          <w:sz w:val="22"/>
          <w:szCs w:val="22"/>
        </w:rPr>
      </w:pPr>
      <w:r w:rsidRPr="000F1D8D">
        <w:rPr>
          <w:rFonts w:ascii="Arial" w:hAnsi="Arial" w:cs="Arial"/>
          <w:b/>
          <w:bCs/>
          <w:sz w:val="22"/>
          <w:szCs w:val="22"/>
        </w:rPr>
        <w:t>Title:</w:t>
      </w:r>
      <w:r w:rsidRPr="000F1D8D">
        <w:rPr>
          <w:rFonts w:ascii="Arial" w:hAnsi="Arial" w:cs="Arial"/>
          <w:sz w:val="22"/>
          <w:szCs w:val="22"/>
        </w:rPr>
        <w:t xml:space="preserve"> Adherence Outcomes of a Liquid Hydroxyurea Delivery Program in a Pediatric Population</w:t>
      </w:r>
    </w:p>
    <w:p w14:paraId="706E36CA" w14:textId="5D91DF7C" w:rsidR="00EE5008" w:rsidRPr="000F1D8D" w:rsidRDefault="00EE5008" w:rsidP="005452BF">
      <w:pPr>
        <w:spacing w:line="240" w:lineRule="exact"/>
        <w:contextualSpacing/>
        <w:jc w:val="both"/>
        <w:rPr>
          <w:rFonts w:ascii="Arial" w:eastAsia="Arial" w:hAnsi="Arial" w:cs="Arial"/>
          <w:bCs/>
          <w:sz w:val="22"/>
          <w:szCs w:val="22"/>
          <w:vertAlign w:val="superscript"/>
        </w:rPr>
      </w:pPr>
      <w:r w:rsidRPr="000F1D8D">
        <w:rPr>
          <w:rFonts w:ascii="Arial" w:eastAsia="Arial" w:hAnsi="Arial" w:cs="Arial"/>
          <w:b/>
          <w:sz w:val="22"/>
          <w:szCs w:val="22"/>
        </w:rPr>
        <w:t xml:space="preserve">Authors: </w:t>
      </w:r>
      <w:r w:rsidRPr="000F1D8D">
        <w:rPr>
          <w:rFonts w:ascii="Arial" w:eastAsia="Arial" w:hAnsi="Arial" w:cs="Arial"/>
          <w:bCs/>
          <w:sz w:val="22"/>
          <w:szCs w:val="22"/>
        </w:rPr>
        <w:t>Maria A. Sacta</w:t>
      </w:r>
      <w:r w:rsidRPr="000F1D8D">
        <w:rPr>
          <w:rFonts w:ascii="Arial" w:eastAsia="Arial" w:hAnsi="Arial" w:cs="Arial"/>
          <w:bCs/>
          <w:sz w:val="22"/>
          <w:szCs w:val="22"/>
          <w:vertAlign w:val="superscript"/>
        </w:rPr>
        <w:t>1*,2*,3</w:t>
      </w:r>
      <w:r w:rsidRPr="000F1D8D">
        <w:rPr>
          <w:rFonts w:ascii="Arial" w:eastAsia="Arial" w:hAnsi="Arial" w:cs="Arial"/>
          <w:bCs/>
          <w:sz w:val="22"/>
          <w:szCs w:val="22"/>
        </w:rPr>
        <w:t xml:space="preserve"> Supriya Sarvode</w:t>
      </w:r>
      <w:r w:rsidRPr="000F1D8D">
        <w:rPr>
          <w:rFonts w:ascii="Arial" w:eastAsia="Arial" w:hAnsi="Arial" w:cs="Arial"/>
          <w:bCs/>
          <w:sz w:val="22"/>
          <w:szCs w:val="22"/>
          <w:vertAlign w:val="superscript"/>
        </w:rPr>
        <w:t>1*,2*,4</w:t>
      </w:r>
      <w:r w:rsidRPr="000F1D8D">
        <w:rPr>
          <w:rFonts w:ascii="Arial" w:eastAsia="Arial" w:hAnsi="Arial" w:cs="Arial"/>
          <w:bCs/>
          <w:sz w:val="22"/>
          <w:szCs w:val="22"/>
        </w:rPr>
        <w:t>, Amanuel Kehasse</w:t>
      </w:r>
      <w:r w:rsidRPr="000F1D8D">
        <w:rPr>
          <w:rFonts w:ascii="Arial" w:eastAsia="Arial" w:hAnsi="Arial" w:cs="Arial"/>
          <w:bCs/>
          <w:sz w:val="22"/>
          <w:szCs w:val="22"/>
          <w:vertAlign w:val="superscript"/>
        </w:rPr>
        <w:t>5</w:t>
      </w:r>
      <w:r w:rsidRPr="000F1D8D">
        <w:rPr>
          <w:rFonts w:ascii="Arial" w:eastAsia="Arial" w:hAnsi="Arial" w:cs="Arial"/>
          <w:bCs/>
          <w:sz w:val="22"/>
          <w:szCs w:val="22"/>
        </w:rPr>
        <w:t>, Suraj Sarvode Mothi</w:t>
      </w:r>
      <w:r w:rsidRPr="000F1D8D">
        <w:rPr>
          <w:rFonts w:ascii="Arial" w:eastAsia="Arial" w:hAnsi="Arial" w:cs="Arial"/>
          <w:bCs/>
          <w:sz w:val="22"/>
          <w:szCs w:val="22"/>
          <w:vertAlign w:val="superscript"/>
        </w:rPr>
        <w:t>6*,7</w:t>
      </w:r>
      <w:r w:rsidRPr="000F1D8D">
        <w:rPr>
          <w:rFonts w:ascii="Arial" w:eastAsia="Arial" w:hAnsi="Arial" w:cs="Arial"/>
          <w:bCs/>
          <w:sz w:val="22"/>
          <w:szCs w:val="22"/>
        </w:rPr>
        <w:t>, Bhavesh Shah</w:t>
      </w:r>
      <w:r w:rsidR="003A0701" w:rsidRPr="000F1D8D">
        <w:rPr>
          <w:rFonts w:ascii="Arial" w:eastAsia="Arial" w:hAnsi="Arial" w:cs="Arial"/>
          <w:bCs/>
          <w:sz w:val="22"/>
          <w:szCs w:val="22"/>
          <w:vertAlign w:val="superscript"/>
        </w:rPr>
        <w:t>5</w:t>
      </w:r>
      <w:r w:rsidRPr="000F1D8D">
        <w:rPr>
          <w:rFonts w:ascii="Arial" w:eastAsia="Arial" w:hAnsi="Arial" w:cs="Arial"/>
          <w:bCs/>
          <w:sz w:val="22"/>
          <w:szCs w:val="22"/>
        </w:rPr>
        <w:t>, Amy Sobota</w:t>
      </w:r>
      <w:r w:rsidRPr="000F1D8D">
        <w:rPr>
          <w:rFonts w:ascii="Arial" w:eastAsia="Arial" w:hAnsi="Arial" w:cs="Arial"/>
          <w:bCs/>
          <w:sz w:val="22"/>
          <w:szCs w:val="22"/>
          <w:vertAlign w:val="superscript"/>
        </w:rPr>
        <w:t>1,8</w:t>
      </w:r>
    </w:p>
    <w:p w14:paraId="4F38D07A" w14:textId="77777777" w:rsidR="00EE5008" w:rsidRPr="000F1D8D" w:rsidRDefault="00EE5008" w:rsidP="005452BF">
      <w:pPr>
        <w:spacing w:line="240" w:lineRule="exact"/>
        <w:contextualSpacing/>
        <w:jc w:val="both"/>
        <w:rPr>
          <w:rFonts w:ascii="Arial" w:eastAsia="Arial" w:hAnsi="Arial" w:cs="Arial"/>
          <w:b/>
          <w:sz w:val="22"/>
          <w:szCs w:val="22"/>
        </w:rPr>
      </w:pPr>
    </w:p>
    <w:p w14:paraId="51A2C424" w14:textId="77777777" w:rsidR="00EE5008" w:rsidRPr="000F1D8D" w:rsidRDefault="00EE5008" w:rsidP="005452BF">
      <w:pPr>
        <w:pStyle w:val="ListParagraph"/>
        <w:numPr>
          <w:ilvl w:val="0"/>
          <w:numId w:val="1"/>
        </w:numPr>
        <w:spacing w:after="0" w:line="240" w:lineRule="exact"/>
        <w:rPr>
          <w:rFonts w:ascii="Arial" w:eastAsia="Arial" w:hAnsi="Arial" w:cs="Arial"/>
          <w:bCs/>
        </w:rPr>
      </w:pPr>
      <w:r w:rsidRPr="000F1D8D">
        <w:rPr>
          <w:rFonts w:ascii="Arial" w:eastAsia="Arial" w:hAnsi="Arial" w:cs="Arial"/>
          <w:bCs/>
        </w:rPr>
        <w:t xml:space="preserve">Department of Pediatrics, Boston University </w:t>
      </w:r>
      <w:proofErr w:type="gramStart"/>
      <w:r w:rsidRPr="000F1D8D">
        <w:rPr>
          <w:rFonts w:ascii="Arial" w:eastAsia="Arial" w:hAnsi="Arial" w:cs="Arial"/>
          <w:bCs/>
        </w:rPr>
        <w:t>Chobanian</w:t>
      </w:r>
      <w:proofErr w:type="gramEnd"/>
      <w:r w:rsidRPr="000F1D8D">
        <w:rPr>
          <w:rFonts w:ascii="Arial" w:eastAsia="Arial" w:hAnsi="Arial" w:cs="Arial"/>
          <w:bCs/>
        </w:rPr>
        <w:t xml:space="preserve"> and Avedisian School of Medicine</w:t>
      </w:r>
    </w:p>
    <w:p w14:paraId="6C4B8187" w14:textId="77777777" w:rsidR="00EE5008" w:rsidRPr="000F1D8D" w:rsidRDefault="00EE5008" w:rsidP="005452BF">
      <w:pPr>
        <w:pStyle w:val="ListParagraph"/>
        <w:spacing w:line="240" w:lineRule="exact"/>
        <w:jc w:val="both"/>
        <w:rPr>
          <w:rFonts w:ascii="Arial" w:eastAsia="Arial" w:hAnsi="Arial" w:cs="Arial"/>
          <w:bCs/>
        </w:rPr>
      </w:pPr>
      <w:r w:rsidRPr="000F1D8D">
        <w:rPr>
          <w:rFonts w:ascii="Arial" w:eastAsia="Arial" w:hAnsi="Arial" w:cs="Arial"/>
          <w:bCs/>
        </w:rPr>
        <w:t>Boston, Massachusetts, USA</w:t>
      </w:r>
    </w:p>
    <w:p w14:paraId="27B4F9D4" w14:textId="77777777" w:rsidR="00EE5008" w:rsidRPr="000F1D8D" w:rsidRDefault="00EE5008" w:rsidP="005452BF">
      <w:pPr>
        <w:pStyle w:val="ListParagraph"/>
        <w:numPr>
          <w:ilvl w:val="0"/>
          <w:numId w:val="1"/>
        </w:numPr>
        <w:spacing w:after="0" w:line="240" w:lineRule="exact"/>
        <w:jc w:val="both"/>
        <w:rPr>
          <w:rFonts w:ascii="Arial" w:eastAsia="Arial" w:hAnsi="Arial" w:cs="Arial"/>
          <w:bCs/>
        </w:rPr>
      </w:pPr>
      <w:r w:rsidRPr="000F1D8D">
        <w:rPr>
          <w:rFonts w:ascii="Arial" w:eastAsia="Arial" w:hAnsi="Arial" w:cs="Arial"/>
          <w:bCs/>
        </w:rPr>
        <w:t>Department of Pediatrics, Boston Children’s Hospital, Boston, Massachusetts, USA</w:t>
      </w:r>
    </w:p>
    <w:p w14:paraId="64E0EF23" w14:textId="77777777" w:rsidR="00EE5008" w:rsidRPr="000F1D8D" w:rsidRDefault="00EE5008" w:rsidP="005452BF">
      <w:pPr>
        <w:pStyle w:val="ListParagraph"/>
        <w:numPr>
          <w:ilvl w:val="0"/>
          <w:numId w:val="1"/>
        </w:numPr>
        <w:spacing w:after="0" w:line="240" w:lineRule="exact"/>
        <w:jc w:val="both"/>
        <w:rPr>
          <w:rFonts w:ascii="Arial" w:eastAsia="Arial" w:hAnsi="Arial" w:cs="Arial"/>
          <w:bCs/>
        </w:rPr>
      </w:pPr>
      <w:r w:rsidRPr="000F1D8D">
        <w:rPr>
          <w:rFonts w:ascii="Arial" w:eastAsia="Arial" w:hAnsi="Arial" w:cs="Arial"/>
          <w:bCs/>
        </w:rPr>
        <w:t>Division of Allergy and Immunology, Children's Hospital of Philadelphia, Pennsylvania, USA</w:t>
      </w:r>
    </w:p>
    <w:p w14:paraId="2443099A" w14:textId="77777777" w:rsidR="00EE5008" w:rsidRPr="000F1D8D" w:rsidRDefault="00EE5008" w:rsidP="005452BF">
      <w:pPr>
        <w:pStyle w:val="ListParagraph"/>
        <w:numPr>
          <w:ilvl w:val="0"/>
          <w:numId w:val="1"/>
        </w:numPr>
        <w:spacing w:after="0" w:line="240" w:lineRule="exact"/>
        <w:jc w:val="both"/>
        <w:rPr>
          <w:rFonts w:ascii="Arial" w:eastAsia="Arial" w:hAnsi="Arial" w:cs="Arial"/>
          <w:bCs/>
        </w:rPr>
      </w:pPr>
      <w:r w:rsidRPr="000F1D8D">
        <w:rPr>
          <w:rFonts w:ascii="Arial" w:eastAsia="Arial" w:hAnsi="Arial" w:cs="Arial"/>
          <w:bCs/>
        </w:rPr>
        <w:t>Department of Hematology and Oncology, St. Jude Children's Research Hospital, Memphis, TN, USA</w:t>
      </w:r>
    </w:p>
    <w:p w14:paraId="3AD42466" w14:textId="77777777" w:rsidR="00EE5008" w:rsidRPr="000F1D8D" w:rsidRDefault="00EE5008" w:rsidP="005452BF">
      <w:pPr>
        <w:pStyle w:val="ListParagraph"/>
        <w:numPr>
          <w:ilvl w:val="0"/>
          <w:numId w:val="1"/>
        </w:numPr>
        <w:spacing w:after="0" w:line="240" w:lineRule="exact"/>
        <w:jc w:val="both"/>
        <w:rPr>
          <w:rFonts w:ascii="Arial" w:eastAsia="Arial" w:hAnsi="Arial" w:cs="Arial"/>
          <w:bCs/>
        </w:rPr>
      </w:pPr>
      <w:r w:rsidRPr="000F1D8D">
        <w:rPr>
          <w:rFonts w:ascii="Arial" w:eastAsia="Arial" w:hAnsi="Arial" w:cs="Arial"/>
          <w:bCs/>
        </w:rPr>
        <w:t>Department of Pharmacy, Boston Medical Center, Boston, Massachusetts, USA</w:t>
      </w:r>
    </w:p>
    <w:p w14:paraId="77853385" w14:textId="77777777" w:rsidR="00EE5008" w:rsidRPr="000F1D8D" w:rsidRDefault="00EE5008" w:rsidP="005452BF">
      <w:pPr>
        <w:pStyle w:val="ListParagraph"/>
        <w:numPr>
          <w:ilvl w:val="0"/>
          <w:numId w:val="1"/>
        </w:numPr>
        <w:spacing w:after="0" w:line="240" w:lineRule="exact"/>
        <w:jc w:val="both"/>
        <w:rPr>
          <w:rFonts w:ascii="Arial" w:eastAsia="Arial" w:hAnsi="Arial" w:cs="Arial"/>
          <w:bCs/>
        </w:rPr>
      </w:pPr>
      <w:r w:rsidRPr="000F1D8D">
        <w:rPr>
          <w:rFonts w:ascii="Arial" w:eastAsia="Arial" w:hAnsi="Arial" w:cs="Arial"/>
          <w:bCs/>
        </w:rPr>
        <w:t>Brigham and Women’s Hospital, Boston, MA, US</w:t>
      </w:r>
    </w:p>
    <w:p w14:paraId="4C1666AF" w14:textId="77777777" w:rsidR="00EE5008" w:rsidRPr="000F1D8D" w:rsidRDefault="00EE5008" w:rsidP="005452BF">
      <w:pPr>
        <w:pStyle w:val="ListParagraph"/>
        <w:numPr>
          <w:ilvl w:val="0"/>
          <w:numId w:val="1"/>
        </w:numPr>
        <w:spacing w:after="0" w:line="240" w:lineRule="exact"/>
        <w:jc w:val="both"/>
        <w:rPr>
          <w:rFonts w:ascii="Arial" w:eastAsia="Arial" w:hAnsi="Arial" w:cs="Arial"/>
          <w:bCs/>
        </w:rPr>
      </w:pPr>
      <w:r w:rsidRPr="000F1D8D">
        <w:rPr>
          <w:rFonts w:ascii="Arial" w:eastAsia="Arial" w:hAnsi="Arial" w:cs="Arial"/>
          <w:bCs/>
        </w:rPr>
        <w:t xml:space="preserve">Department of Biostatistics, St. Jude Children’s Research Hospital, Memphis, TN, USA </w:t>
      </w:r>
    </w:p>
    <w:p w14:paraId="126E1AAC" w14:textId="77777777" w:rsidR="00EE5008" w:rsidRPr="000F1D8D" w:rsidRDefault="00EE5008" w:rsidP="005452BF">
      <w:pPr>
        <w:pStyle w:val="ListParagraph"/>
        <w:numPr>
          <w:ilvl w:val="0"/>
          <w:numId w:val="1"/>
        </w:numPr>
        <w:spacing w:after="0" w:line="240" w:lineRule="exact"/>
        <w:jc w:val="both"/>
        <w:rPr>
          <w:rFonts w:ascii="Arial" w:eastAsia="Arial" w:hAnsi="Arial" w:cs="Arial"/>
          <w:bCs/>
        </w:rPr>
      </w:pPr>
      <w:r w:rsidRPr="000F1D8D">
        <w:rPr>
          <w:rFonts w:ascii="Arial" w:eastAsia="Arial" w:hAnsi="Arial" w:cs="Arial"/>
          <w:bCs/>
        </w:rPr>
        <w:t>Division of Pediatric Hematology/Oncology; Boston University Chobanian and Avedisian School of Medicine, Boston, Massachusetts, USA</w:t>
      </w:r>
    </w:p>
    <w:p w14:paraId="2501FCD2" w14:textId="77777777" w:rsidR="00EE5008" w:rsidRPr="000F1D8D" w:rsidRDefault="00EE5008" w:rsidP="005452BF">
      <w:pPr>
        <w:spacing w:line="240" w:lineRule="exact"/>
        <w:contextualSpacing/>
        <w:jc w:val="both"/>
        <w:rPr>
          <w:rFonts w:ascii="Arial" w:eastAsia="Arial" w:hAnsi="Arial" w:cs="Arial"/>
          <w:bCs/>
          <w:sz w:val="22"/>
          <w:szCs w:val="22"/>
        </w:rPr>
      </w:pPr>
      <w:bookmarkStart w:id="0" w:name="_Hlk160894428"/>
    </w:p>
    <w:bookmarkEnd w:id="0"/>
    <w:p w14:paraId="584CD0F1" w14:textId="77777777" w:rsidR="00EE5008" w:rsidRPr="000F1D8D" w:rsidRDefault="00EE5008" w:rsidP="005452BF">
      <w:pPr>
        <w:pStyle w:val="ListParagraph"/>
        <w:spacing w:line="240" w:lineRule="exact"/>
        <w:jc w:val="both"/>
        <w:rPr>
          <w:rFonts w:ascii="Arial" w:eastAsia="Arial" w:hAnsi="Arial" w:cs="Arial"/>
          <w:bCs/>
        </w:rPr>
      </w:pPr>
      <w:r w:rsidRPr="000F1D8D">
        <w:rPr>
          <w:rFonts w:ascii="Arial" w:eastAsia="Arial" w:hAnsi="Arial" w:cs="Arial"/>
          <w:bCs/>
        </w:rPr>
        <w:t xml:space="preserve">*Affiliation at the time of significant contribution. </w:t>
      </w:r>
    </w:p>
    <w:p w14:paraId="15F8806D" w14:textId="77777777" w:rsidR="00EE5008" w:rsidRPr="000F1D8D" w:rsidRDefault="00EE5008" w:rsidP="005452BF">
      <w:pPr>
        <w:shd w:val="clear" w:color="auto" w:fill="FFFFFF"/>
        <w:spacing w:before="100" w:beforeAutospacing="1" w:after="100" w:afterAutospacing="1" w:line="240" w:lineRule="exact"/>
        <w:contextualSpacing/>
        <w:rPr>
          <w:rFonts w:ascii="Arial" w:eastAsia="Times New Roman" w:hAnsi="Arial" w:cs="Arial"/>
          <w:b/>
          <w:bCs/>
          <w:color w:val="1C1D1E"/>
          <w:sz w:val="22"/>
          <w:szCs w:val="22"/>
        </w:rPr>
      </w:pPr>
      <w:r w:rsidRPr="000F1D8D">
        <w:rPr>
          <w:rFonts w:ascii="Arial" w:eastAsia="Times New Roman" w:hAnsi="Arial" w:cs="Arial"/>
          <w:b/>
          <w:bCs/>
          <w:color w:val="1C1D1E"/>
          <w:sz w:val="22"/>
          <w:szCs w:val="22"/>
        </w:rPr>
        <w:t xml:space="preserve">Corresponding author:  </w:t>
      </w:r>
    </w:p>
    <w:p w14:paraId="79638506" w14:textId="77777777" w:rsidR="00EE5008" w:rsidRPr="000F1D8D" w:rsidRDefault="00EE5008" w:rsidP="005452BF">
      <w:pPr>
        <w:shd w:val="clear" w:color="auto" w:fill="FFFFFF"/>
        <w:spacing w:before="100" w:beforeAutospacing="1" w:after="100" w:afterAutospacing="1" w:line="240" w:lineRule="exact"/>
        <w:contextualSpacing/>
        <w:rPr>
          <w:rFonts w:ascii="Arial" w:eastAsia="Times New Roman" w:hAnsi="Arial" w:cs="Arial"/>
          <w:b/>
          <w:bCs/>
          <w:color w:val="1C1D1E"/>
          <w:sz w:val="22"/>
          <w:szCs w:val="22"/>
        </w:rPr>
      </w:pPr>
    </w:p>
    <w:p w14:paraId="79F3368E" w14:textId="77777777" w:rsidR="00EE5008" w:rsidRPr="000F1D8D" w:rsidRDefault="00EE5008" w:rsidP="005452BF">
      <w:pPr>
        <w:shd w:val="clear" w:color="auto" w:fill="FFFFFF"/>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Supriya Sarvode, MD</w:t>
      </w:r>
    </w:p>
    <w:p w14:paraId="0280DDB3" w14:textId="77777777" w:rsidR="00EE5008" w:rsidRPr="000F1D8D" w:rsidRDefault="00EE5008" w:rsidP="005452BF">
      <w:pPr>
        <w:shd w:val="clear" w:color="auto" w:fill="FFFFFF"/>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 xml:space="preserve">Clinical fellow, </w:t>
      </w:r>
    </w:p>
    <w:p w14:paraId="24C5D619" w14:textId="77777777" w:rsidR="00EE5008" w:rsidRPr="000F1D8D" w:rsidRDefault="00EE5008" w:rsidP="005452BF">
      <w:pPr>
        <w:shd w:val="clear" w:color="auto" w:fill="FFFFFF"/>
        <w:spacing w:before="100" w:beforeAutospacing="1" w:after="100" w:afterAutospacing="1" w:line="240" w:lineRule="exact"/>
        <w:contextualSpacing/>
        <w:rPr>
          <w:rFonts w:ascii="Arial" w:hAnsi="Arial" w:cs="Arial"/>
          <w:color w:val="242424"/>
          <w:sz w:val="22"/>
          <w:szCs w:val="22"/>
          <w:bdr w:val="none" w:sz="0" w:space="0" w:color="auto" w:frame="1"/>
        </w:rPr>
      </w:pPr>
      <w:r w:rsidRPr="000F1D8D">
        <w:rPr>
          <w:rFonts w:ascii="Arial" w:hAnsi="Arial" w:cs="Arial"/>
          <w:color w:val="242424"/>
          <w:sz w:val="22"/>
          <w:szCs w:val="22"/>
          <w:bdr w:val="none" w:sz="0" w:space="0" w:color="auto" w:frame="1"/>
        </w:rPr>
        <w:t>St. Jude Children's Research Hospital</w:t>
      </w:r>
    </w:p>
    <w:p w14:paraId="54B34E28" w14:textId="77777777" w:rsidR="00EE5008" w:rsidRPr="000F1D8D" w:rsidRDefault="00EE5008" w:rsidP="005452BF">
      <w:pPr>
        <w:shd w:val="clear" w:color="auto" w:fill="FFFFFF"/>
        <w:spacing w:before="100" w:beforeAutospacing="1" w:after="100" w:afterAutospacing="1" w:line="240" w:lineRule="exact"/>
        <w:contextualSpacing/>
        <w:rPr>
          <w:rFonts w:ascii="Arial" w:hAnsi="Arial" w:cs="Arial"/>
          <w:color w:val="242424"/>
          <w:sz w:val="22"/>
          <w:szCs w:val="22"/>
          <w:bdr w:val="none" w:sz="0" w:space="0" w:color="auto" w:frame="1"/>
        </w:rPr>
      </w:pPr>
      <w:r w:rsidRPr="000F1D8D">
        <w:rPr>
          <w:rFonts w:ascii="Arial" w:hAnsi="Arial" w:cs="Arial"/>
          <w:color w:val="242424"/>
          <w:sz w:val="22"/>
          <w:szCs w:val="22"/>
          <w:bdr w:val="none" w:sz="0" w:space="0" w:color="auto" w:frame="1"/>
        </w:rPr>
        <w:t>262 Danny Thomas Place | Mail Stop 260 | Memphis, TN 38105</w:t>
      </w:r>
    </w:p>
    <w:p w14:paraId="7DCA3389" w14:textId="77777777" w:rsidR="00EE5008" w:rsidRPr="000F1D8D" w:rsidRDefault="00EE5008" w:rsidP="005452BF">
      <w:pPr>
        <w:shd w:val="clear" w:color="auto" w:fill="FFFFFF"/>
        <w:spacing w:before="100" w:beforeAutospacing="1" w:after="100" w:afterAutospacing="1" w:line="240" w:lineRule="exact"/>
        <w:contextualSpacing/>
        <w:rPr>
          <w:rFonts w:ascii="Arial" w:hAnsi="Arial" w:cs="Arial"/>
          <w:color w:val="242424"/>
          <w:sz w:val="22"/>
          <w:szCs w:val="22"/>
          <w:shd w:val="clear" w:color="auto" w:fill="FFFFFF"/>
        </w:rPr>
      </w:pPr>
      <w:r w:rsidRPr="000F1D8D">
        <w:rPr>
          <w:rFonts w:ascii="Arial" w:hAnsi="Arial" w:cs="Arial"/>
          <w:color w:val="242424"/>
          <w:sz w:val="22"/>
          <w:szCs w:val="22"/>
          <w:bdr w:val="none" w:sz="0" w:space="0" w:color="auto" w:frame="1"/>
        </w:rPr>
        <w:t>t: (617)-803-4640 | fax: </w:t>
      </w:r>
      <w:r w:rsidRPr="000F1D8D">
        <w:rPr>
          <w:rFonts w:ascii="Arial" w:hAnsi="Arial" w:cs="Arial"/>
          <w:color w:val="242424"/>
          <w:sz w:val="22"/>
          <w:szCs w:val="22"/>
          <w:shd w:val="clear" w:color="auto" w:fill="FFFFFF"/>
        </w:rPr>
        <w:t>(901) 521-9005</w:t>
      </w:r>
    </w:p>
    <w:p w14:paraId="1FBAC836" w14:textId="3A72B088" w:rsidR="00EE5008" w:rsidRPr="000F1D8D" w:rsidRDefault="00EE5008" w:rsidP="005452BF">
      <w:pPr>
        <w:shd w:val="clear" w:color="auto" w:fill="FFFFFF"/>
        <w:spacing w:before="100" w:beforeAutospacing="1" w:after="100" w:afterAutospacing="1" w:line="240" w:lineRule="exact"/>
        <w:contextualSpacing/>
        <w:rPr>
          <w:rStyle w:val="Hyperlink"/>
          <w:rFonts w:ascii="Arial" w:hAnsi="Arial" w:cs="Arial"/>
          <w:sz w:val="22"/>
          <w:szCs w:val="22"/>
          <w:bdr w:val="none" w:sz="0" w:space="0" w:color="auto" w:frame="1"/>
        </w:rPr>
      </w:pPr>
      <w:r w:rsidRPr="000F1D8D">
        <w:rPr>
          <w:rFonts w:ascii="Arial" w:hAnsi="Arial" w:cs="Arial"/>
          <w:color w:val="242424"/>
          <w:sz w:val="22"/>
          <w:szCs w:val="22"/>
          <w:bdr w:val="none" w:sz="0" w:space="0" w:color="auto" w:frame="1"/>
        </w:rPr>
        <w:t>e: </w:t>
      </w:r>
      <w:hyperlink r:id="rId8" w:history="1">
        <w:r w:rsidRPr="000F1D8D">
          <w:rPr>
            <w:rStyle w:val="Hyperlink"/>
            <w:rFonts w:ascii="Arial" w:hAnsi="Arial" w:cs="Arial"/>
            <w:sz w:val="22"/>
            <w:szCs w:val="22"/>
            <w:bdr w:val="none" w:sz="0" w:space="0" w:color="auto" w:frame="1"/>
          </w:rPr>
          <w:t>supriya.sarvode@stjude.org</w:t>
        </w:r>
      </w:hyperlink>
    </w:p>
    <w:p w14:paraId="6B3677AC" w14:textId="77777777" w:rsidR="000F1D8D" w:rsidRPr="000F1D8D" w:rsidRDefault="000F1D8D" w:rsidP="005452BF">
      <w:pPr>
        <w:shd w:val="clear" w:color="auto" w:fill="FFFFFF"/>
        <w:spacing w:before="100" w:beforeAutospacing="1" w:after="100" w:afterAutospacing="1" w:line="240" w:lineRule="exact"/>
        <w:contextualSpacing/>
        <w:rPr>
          <w:rStyle w:val="Hyperlink"/>
          <w:rFonts w:ascii="Arial" w:hAnsi="Arial" w:cs="Arial"/>
          <w:sz w:val="22"/>
          <w:szCs w:val="22"/>
          <w:bdr w:val="none" w:sz="0" w:space="0" w:color="auto" w:frame="1"/>
        </w:rPr>
      </w:pPr>
    </w:p>
    <w:tbl>
      <w:tblPr>
        <w:tblStyle w:val="TableGrid"/>
        <w:tblW w:w="9535" w:type="dxa"/>
        <w:tblLook w:val="04A0" w:firstRow="1" w:lastRow="0" w:firstColumn="1" w:lastColumn="0" w:noHBand="0" w:noVBand="1"/>
      </w:tblPr>
      <w:tblGrid>
        <w:gridCol w:w="7105"/>
        <w:gridCol w:w="2430"/>
      </w:tblGrid>
      <w:tr w:rsidR="000F1D8D" w:rsidRPr="000F1D8D" w14:paraId="19762780" w14:textId="77777777" w:rsidTr="00917147">
        <w:tc>
          <w:tcPr>
            <w:tcW w:w="9535" w:type="dxa"/>
            <w:gridSpan w:val="2"/>
          </w:tcPr>
          <w:p w14:paraId="33568697" w14:textId="77777777" w:rsidR="000F1D8D" w:rsidRPr="000F1D8D" w:rsidRDefault="000F1D8D" w:rsidP="005452BF">
            <w:pPr>
              <w:spacing w:before="100" w:beforeAutospacing="1" w:after="100" w:afterAutospacing="1" w:line="240" w:lineRule="exact"/>
              <w:contextualSpacing/>
              <w:rPr>
                <w:rFonts w:ascii="Arial" w:eastAsia="Times New Roman" w:hAnsi="Arial" w:cs="Arial"/>
                <w:b/>
                <w:bCs/>
                <w:color w:val="1C1D1E"/>
                <w:sz w:val="22"/>
                <w:szCs w:val="22"/>
              </w:rPr>
            </w:pPr>
            <w:r w:rsidRPr="000F1D8D">
              <w:rPr>
                <w:rFonts w:ascii="Arial" w:eastAsia="Times New Roman" w:hAnsi="Arial" w:cs="Arial"/>
                <w:b/>
                <w:bCs/>
                <w:color w:val="1C1D1E"/>
                <w:sz w:val="22"/>
                <w:szCs w:val="22"/>
              </w:rPr>
              <w:t>Word Count</w:t>
            </w:r>
          </w:p>
        </w:tc>
      </w:tr>
      <w:tr w:rsidR="000F1D8D" w:rsidRPr="000F1D8D" w14:paraId="533813D5" w14:textId="77777777" w:rsidTr="00917147">
        <w:tc>
          <w:tcPr>
            <w:tcW w:w="7105" w:type="dxa"/>
          </w:tcPr>
          <w:p w14:paraId="64D60867"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Abstract</w:t>
            </w:r>
          </w:p>
        </w:tc>
        <w:tc>
          <w:tcPr>
            <w:tcW w:w="2430" w:type="dxa"/>
          </w:tcPr>
          <w:p w14:paraId="020D4C63"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240</w:t>
            </w:r>
          </w:p>
        </w:tc>
      </w:tr>
      <w:tr w:rsidR="000F1D8D" w:rsidRPr="000F1D8D" w14:paraId="780E1773" w14:textId="77777777" w:rsidTr="00917147">
        <w:tc>
          <w:tcPr>
            <w:tcW w:w="7105" w:type="dxa"/>
          </w:tcPr>
          <w:p w14:paraId="295DB01E"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Main text (excludes title page, abstract, Conflicts of Interest, Acknowledgments, References, Tables, Figures, and Legends)</w:t>
            </w:r>
          </w:p>
        </w:tc>
        <w:tc>
          <w:tcPr>
            <w:tcW w:w="2430" w:type="dxa"/>
          </w:tcPr>
          <w:p w14:paraId="0A3A424C"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2431</w:t>
            </w:r>
          </w:p>
        </w:tc>
      </w:tr>
    </w:tbl>
    <w:p w14:paraId="366A3574" w14:textId="77777777" w:rsidR="000F1D8D" w:rsidRPr="000F1D8D" w:rsidRDefault="000F1D8D" w:rsidP="005452BF">
      <w:pPr>
        <w:shd w:val="clear" w:color="auto" w:fill="FFFFFF"/>
        <w:spacing w:before="100" w:beforeAutospacing="1" w:after="100" w:afterAutospacing="1" w:line="240" w:lineRule="exact"/>
        <w:contextualSpacing/>
        <w:rPr>
          <w:rFonts w:ascii="Arial" w:hAnsi="Arial" w:cs="Arial"/>
          <w:color w:val="242424"/>
          <w:sz w:val="22"/>
          <w:szCs w:val="22"/>
          <w:bdr w:val="none" w:sz="0" w:space="0" w:color="auto" w:frame="1"/>
        </w:rPr>
      </w:pPr>
    </w:p>
    <w:p w14:paraId="4BAC2AED" w14:textId="77777777" w:rsidR="000F1D8D" w:rsidRPr="000F1D8D" w:rsidRDefault="000F1D8D" w:rsidP="005452BF">
      <w:pPr>
        <w:shd w:val="clear" w:color="auto" w:fill="FFFFFF"/>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b/>
          <w:bCs/>
          <w:color w:val="1C1D1E"/>
          <w:sz w:val="22"/>
          <w:szCs w:val="22"/>
        </w:rPr>
        <w:t>Number of Tables, Figures, and Supporting Information files:</w:t>
      </w:r>
      <w:r w:rsidRPr="000F1D8D">
        <w:rPr>
          <w:rFonts w:ascii="Arial" w:eastAsia="Times New Roman" w:hAnsi="Arial" w:cs="Arial"/>
          <w:color w:val="1C1D1E"/>
          <w:sz w:val="22"/>
          <w:szCs w:val="22"/>
        </w:rPr>
        <w:t xml:space="preserve"> </w:t>
      </w:r>
    </w:p>
    <w:p w14:paraId="58AFD7F3" w14:textId="77777777" w:rsidR="00EE5008" w:rsidRPr="000F1D8D" w:rsidRDefault="00EE5008" w:rsidP="005452BF">
      <w:pPr>
        <w:spacing w:line="240" w:lineRule="exact"/>
        <w:jc w:val="both"/>
        <w:rPr>
          <w:rFonts w:ascii="Arial" w:hAnsi="Arial" w:cs="Arial"/>
          <w:sz w:val="22"/>
          <w:szCs w:val="22"/>
        </w:rPr>
      </w:pPr>
    </w:p>
    <w:tbl>
      <w:tblPr>
        <w:tblStyle w:val="TableGrid"/>
        <w:tblW w:w="9535" w:type="dxa"/>
        <w:tblLook w:val="04A0" w:firstRow="1" w:lastRow="0" w:firstColumn="1" w:lastColumn="0" w:noHBand="0" w:noVBand="1"/>
      </w:tblPr>
      <w:tblGrid>
        <w:gridCol w:w="7105"/>
        <w:gridCol w:w="2430"/>
      </w:tblGrid>
      <w:tr w:rsidR="000F1D8D" w:rsidRPr="000F1D8D" w14:paraId="1C95034F" w14:textId="77777777" w:rsidTr="00917147">
        <w:tc>
          <w:tcPr>
            <w:tcW w:w="7105" w:type="dxa"/>
          </w:tcPr>
          <w:p w14:paraId="3250B011"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Tables</w:t>
            </w:r>
          </w:p>
        </w:tc>
        <w:tc>
          <w:tcPr>
            <w:tcW w:w="2430" w:type="dxa"/>
          </w:tcPr>
          <w:p w14:paraId="5C7F5963"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3</w:t>
            </w:r>
          </w:p>
        </w:tc>
      </w:tr>
      <w:tr w:rsidR="000F1D8D" w:rsidRPr="000F1D8D" w14:paraId="2CAAFF92" w14:textId="77777777" w:rsidTr="00917147">
        <w:tc>
          <w:tcPr>
            <w:tcW w:w="7105" w:type="dxa"/>
          </w:tcPr>
          <w:p w14:paraId="1BACA719"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Figures</w:t>
            </w:r>
          </w:p>
        </w:tc>
        <w:tc>
          <w:tcPr>
            <w:tcW w:w="2430" w:type="dxa"/>
          </w:tcPr>
          <w:p w14:paraId="499322CD"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1</w:t>
            </w:r>
          </w:p>
        </w:tc>
      </w:tr>
      <w:tr w:rsidR="000F1D8D" w:rsidRPr="000F1D8D" w14:paraId="13AEDD47" w14:textId="77777777" w:rsidTr="00917147">
        <w:tc>
          <w:tcPr>
            <w:tcW w:w="7105" w:type="dxa"/>
          </w:tcPr>
          <w:p w14:paraId="371B4980"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 xml:space="preserve">Supplementary Tables </w:t>
            </w:r>
          </w:p>
        </w:tc>
        <w:tc>
          <w:tcPr>
            <w:tcW w:w="2430" w:type="dxa"/>
          </w:tcPr>
          <w:p w14:paraId="2CDF7597"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2</w:t>
            </w:r>
          </w:p>
        </w:tc>
      </w:tr>
      <w:tr w:rsidR="000F1D8D" w:rsidRPr="000F1D8D" w14:paraId="7DEA03C0" w14:textId="77777777" w:rsidTr="00917147">
        <w:tc>
          <w:tcPr>
            <w:tcW w:w="7105" w:type="dxa"/>
          </w:tcPr>
          <w:p w14:paraId="366BA1D8"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 xml:space="preserve">Supplementary Figures </w:t>
            </w:r>
          </w:p>
        </w:tc>
        <w:tc>
          <w:tcPr>
            <w:tcW w:w="2430" w:type="dxa"/>
          </w:tcPr>
          <w:p w14:paraId="5A2CA605"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1</w:t>
            </w:r>
          </w:p>
        </w:tc>
      </w:tr>
    </w:tbl>
    <w:p w14:paraId="6A941B41" w14:textId="77777777" w:rsidR="000F1D8D" w:rsidRPr="000F1D8D" w:rsidRDefault="000F1D8D" w:rsidP="005452BF">
      <w:pPr>
        <w:spacing w:line="240" w:lineRule="exact"/>
        <w:jc w:val="both"/>
        <w:rPr>
          <w:rFonts w:ascii="Arial" w:hAnsi="Arial" w:cs="Arial"/>
          <w:sz w:val="22"/>
          <w:szCs w:val="22"/>
        </w:rPr>
      </w:pPr>
    </w:p>
    <w:p w14:paraId="28C6C414" w14:textId="77777777" w:rsidR="000F1D8D" w:rsidRPr="000F1D8D" w:rsidRDefault="000F1D8D" w:rsidP="005452BF">
      <w:pPr>
        <w:shd w:val="clear" w:color="auto" w:fill="FFFFFF"/>
        <w:spacing w:before="100" w:beforeAutospacing="1" w:after="100" w:afterAutospacing="1" w:line="240" w:lineRule="exact"/>
        <w:contextualSpacing/>
        <w:rPr>
          <w:rFonts w:ascii="Arial" w:eastAsia="Arial" w:hAnsi="Arial" w:cs="Arial"/>
          <w:bCs/>
          <w:sz w:val="22"/>
          <w:szCs w:val="22"/>
        </w:rPr>
      </w:pPr>
      <w:r w:rsidRPr="000F1D8D">
        <w:rPr>
          <w:rFonts w:ascii="Arial" w:eastAsia="Times New Roman" w:hAnsi="Arial" w:cs="Arial"/>
          <w:b/>
          <w:bCs/>
          <w:color w:val="1C1D1E"/>
          <w:sz w:val="22"/>
          <w:szCs w:val="22"/>
        </w:rPr>
        <w:t>Short running title</w:t>
      </w:r>
      <w:r w:rsidRPr="000F1D8D">
        <w:rPr>
          <w:rFonts w:ascii="Arial" w:eastAsia="Times New Roman" w:hAnsi="Arial" w:cs="Arial"/>
          <w:color w:val="1C1D1E"/>
          <w:sz w:val="22"/>
          <w:szCs w:val="22"/>
        </w:rPr>
        <w:t xml:space="preserve">: </w:t>
      </w:r>
      <w:r w:rsidRPr="000F1D8D">
        <w:rPr>
          <w:rFonts w:ascii="Arial" w:hAnsi="Arial" w:cs="Arial"/>
          <w:sz w:val="22"/>
          <w:szCs w:val="22"/>
        </w:rPr>
        <w:t>Adherence Outcomes of a Liquid Hydroxyurea Delivery Program in a Pediatric Population</w:t>
      </w:r>
    </w:p>
    <w:p w14:paraId="6C5CF8A6" w14:textId="77777777" w:rsidR="000F1D8D" w:rsidRPr="000F1D8D" w:rsidRDefault="000F1D8D" w:rsidP="005452BF">
      <w:pPr>
        <w:shd w:val="clear" w:color="auto" w:fill="FFFFFF"/>
        <w:spacing w:before="100" w:beforeAutospacing="1" w:after="100" w:afterAutospacing="1" w:line="240" w:lineRule="exact"/>
        <w:contextualSpacing/>
        <w:rPr>
          <w:rFonts w:ascii="Arial" w:eastAsia="Times New Roman" w:hAnsi="Arial" w:cs="Arial"/>
          <w:color w:val="1C1D1E"/>
          <w:sz w:val="22"/>
          <w:szCs w:val="22"/>
        </w:rPr>
      </w:pPr>
    </w:p>
    <w:p w14:paraId="45BBD9C9" w14:textId="77777777" w:rsidR="000F1D8D" w:rsidRPr="000F1D8D" w:rsidRDefault="000F1D8D" w:rsidP="005452BF">
      <w:pPr>
        <w:shd w:val="clear" w:color="auto" w:fill="FFFFFF"/>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b/>
          <w:bCs/>
          <w:color w:val="1C1D1E"/>
          <w:sz w:val="22"/>
          <w:szCs w:val="22"/>
        </w:rPr>
        <w:t>Keywords:</w:t>
      </w:r>
      <w:r w:rsidRPr="000F1D8D">
        <w:rPr>
          <w:rFonts w:ascii="Arial" w:eastAsia="Times New Roman" w:hAnsi="Arial" w:cs="Arial"/>
          <w:color w:val="1C1D1E"/>
          <w:sz w:val="22"/>
          <w:szCs w:val="22"/>
        </w:rPr>
        <w:t xml:space="preserve"> Hydroxyurea, pediatric, adherence</w:t>
      </w:r>
    </w:p>
    <w:p w14:paraId="6BED40C4" w14:textId="77777777" w:rsidR="000F1D8D" w:rsidRPr="000F1D8D" w:rsidRDefault="000F1D8D" w:rsidP="005452BF">
      <w:pPr>
        <w:shd w:val="clear" w:color="auto" w:fill="FFFFFF"/>
        <w:spacing w:before="100" w:beforeAutospacing="1" w:after="100" w:afterAutospacing="1" w:line="240" w:lineRule="exact"/>
        <w:contextualSpacing/>
        <w:rPr>
          <w:rFonts w:ascii="Arial" w:eastAsia="Times New Roman" w:hAnsi="Arial" w:cs="Arial"/>
          <w:color w:val="1C1D1E"/>
          <w:sz w:val="22"/>
          <w:szCs w:val="22"/>
        </w:rPr>
      </w:pPr>
    </w:p>
    <w:tbl>
      <w:tblPr>
        <w:tblStyle w:val="TableGrid"/>
        <w:tblW w:w="9355" w:type="dxa"/>
        <w:tblLook w:val="04A0" w:firstRow="1" w:lastRow="0" w:firstColumn="1" w:lastColumn="0" w:noHBand="0" w:noVBand="1"/>
      </w:tblPr>
      <w:tblGrid>
        <w:gridCol w:w="1885"/>
        <w:gridCol w:w="7470"/>
      </w:tblGrid>
      <w:tr w:rsidR="000F1D8D" w:rsidRPr="000F1D8D" w14:paraId="7EAAEA12" w14:textId="77777777" w:rsidTr="00917147">
        <w:tc>
          <w:tcPr>
            <w:tcW w:w="1885" w:type="dxa"/>
          </w:tcPr>
          <w:p w14:paraId="68F946F3" w14:textId="77777777" w:rsidR="000F1D8D" w:rsidRPr="000F1D8D" w:rsidRDefault="000F1D8D" w:rsidP="005452BF">
            <w:pPr>
              <w:spacing w:before="100" w:beforeAutospacing="1" w:after="100" w:afterAutospacing="1" w:line="240" w:lineRule="exact"/>
              <w:contextualSpacing/>
              <w:rPr>
                <w:rFonts w:ascii="Arial" w:eastAsia="Times New Roman" w:hAnsi="Arial" w:cs="Arial"/>
                <w:b/>
                <w:bCs/>
                <w:color w:val="1C1D1E"/>
                <w:sz w:val="22"/>
                <w:szCs w:val="22"/>
              </w:rPr>
            </w:pPr>
            <w:r w:rsidRPr="000F1D8D">
              <w:rPr>
                <w:rFonts w:ascii="Arial" w:eastAsia="Times New Roman" w:hAnsi="Arial" w:cs="Arial"/>
                <w:b/>
                <w:bCs/>
                <w:color w:val="1C1D1E"/>
                <w:sz w:val="22"/>
                <w:szCs w:val="22"/>
              </w:rPr>
              <w:t xml:space="preserve">Abbreviation </w:t>
            </w:r>
          </w:p>
        </w:tc>
        <w:tc>
          <w:tcPr>
            <w:tcW w:w="7470" w:type="dxa"/>
          </w:tcPr>
          <w:p w14:paraId="3E23CE37" w14:textId="77777777" w:rsidR="000F1D8D" w:rsidRPr="000F1D8D" w:rsidRDefault="000F1D8D" w:rsidP="005452BF">
            <w:pPr>
              <w:spacing w:before="100" w:beforeAutospacing="1" w:after="100" w:afterAutospacing="1" w:line="240" w:lineRule="exact"/>
              <w:contextualSpacing/>
              <w:rPr>
                <w:rFonts w:ascii="Arial" w:eastAsia="Times New Roman" w:hAnsi="Arial" w:cs="Arial"/>
                <w:b/>
                <w:bCs/>
                <w:color w:val="1C1D1E"/>
                <w:sz w:val="22"/>
                <w:szCs w:val="22"/>
              </w:rPr>
            </w:pPr>
            <w:r w:rsidRPr="000F1D8D">
              <w:rPr>
                <w:rFonts w:ascii="Arial" w:eastAsia="Times New Roman" w:hAnsi="Arial" w:cs="Arial"/>
                <w:b/>
                <w:bCs/>
                <w:color w:val="1C1D1E"/>
                <w:sz w:val="22"/>
                <w:szCs w:val="22"/>
              </w:rPr>
              <w:t xml:space="preserve">Full term or phrase </w:t>
            </w:r>
          </w:p>
        </w:tc>
      </w:tr>
      <w:tr w:rsidR="000F1D8D" w:rsidRPr="000F1D8D" w14:paraId="107E46A4" w14:textId="77777777" w:rsidTr="00917147">
        <w:tc>
          <w:tcPr>
            <w:tcW w:w="1885" w:type="dxa"/>
          </w:tcPr>
          <w:p w14:paraId="7DE2A96C"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hAnsi="Arial" w:cs="Arial"/>
                <w:color w:val="0E101A"/>
                <w:sz w:val="22"/>
                <w:szCs w:val="22"/>
              </w:rPr>
              <w:t>LHU</w:t>
            </w:r>
          </w:p>
        </w:tc>
        <w:tc>
          <w:tcPr>
            <w:tcW w:w="7470" w:type="dxa"/>
          </w:tcPr>
          <w:p w14:paraId="7B8AA238"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hAnsi="Arial" w:cs="Arial"/>
                <w:color w:val="0E101A"/>
                <w:sz w:val="22"/>
                <w:szCs w:val="22"/>
              </w:rPr>
              <w:t>Liquid Hydroxyurea</w:t>
            </w:r>
          </w:p>
        </w:tc>
      </w:tr>
      <w:tr w:rsidR="000F1D8D" w:rsidRPr="000F1D8D" w14:paraId="395E1420" w14:textId="77777777" w:rsidTr="00917147">
        <w:tc>
          <w:tcPr>
            <w:tcW w:w="1885" w:type="dxa"/>
          </w:tcPr>
          <w:p w14:paraId="5768C4A3"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hAnsi="Arial" w:cs="Arial"/>
                <w:color w:val="0E101A"/>
                <w:sz w:val="22"/>
                <w:szCs w:val="22"/>
              </w:rPr>
              <w:t>Hb</w:t>
            </w:r>
          </w:p>
        </w:tc>
        <w:tc>
          <w:tcPr>
            <w:tcW w:w="7470" w:type="dxa"/>
          </w:tcPr>
          <w:p w14:paraId="694C90DB"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 xml:space="preserve">Hemoglobin </w:t>
            </w:r>
          </w:p>
        </w:tc>
      </w:tr>
      <w:tr w:rsidR="000F1D8D" w:rsidRPr="000F1D8D" w14:paraId="1EDC3782" w14:textId="77777777" w:rsidTr="00917147">
        <w:tc>
          <w:tcPr>
            <w:tcW w:w="1885" w:type="dxa"/>
          </w:tcPr>
          <w:p w14:paraId="6936DF0C"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 xml:space="preserve">MCV </w:t>
            </w:r>
          </w:p>
        </w:tc>
        <w:tc>
          <w:tcPr>
            <w:tcW w:w="7470" w:type="dxa"/>
          </w:tcPr>
          <w:p w14:paraId="7917BDE0"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 xml:space="preserve">Mean Corpuscular Volume </w:t>
            </w:r>
          </w:p>
        </w:tc>
      </w:tr>
      <w:tr w:rsidR="000F1D8D" w:rsidRPr="000F1D8D" w14:paraId="0B8DFBF7" w14:textId="77777777" w:rsidTr="00917147">
        <w:tc>
          <w:tcPr>
            <w:tcW w:w="1885" w:type="dxa"/>
          </w:tcPr>
          <w:p w14:paraId="014A36E5"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 xml:space="preserve">ACS </w:t>
            </w:r>
          </w:p>
        </w:tc>
        <w:tc>
          <w:tcPr>
            <w:tcW w:w="7470" w:type="dxa"/>
          </w:tcPr>
          <w:p w14:paraId="1728994E"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 xml:space="preserve">Acute Chest Syndrome </w:t>
            </w:r>
          </w:p>
        </w:tc>
      </w:tr>
      <w:tr w:rsidR="000F1D8D" w:rsidRPr="000F1D8D" w14:paraId="77833E6E" w14:textId="77777777" w:rsidTr="00917147">
        <w:tc>
          <w:tcPr>
            <w:tcW w:w="1885" w:type="dxa"/>
          </w:tcPr>
          <w:p w14:paraId="6107DB4D"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SCD</w:t>
            </w:r>
          </w:p>
        </w:tc>
        <w:tc>
          <w:tcPr>
            <w:tcW w:w="7470" w:type="dxa"/>
          </w:tcPr>
          <w:p w14:paraId="057513BF"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 xml:space="preserve">Sickle Cell Disease </w:t>
            </w:r>
          </w:p>
        </w:tc>
      </w:tr>
      <w:tr w:rsidR="000F1D8D" w:rsidRPr="000F1D8D" w14:paraId="074B0129" w14:textId="77777777" w:rsidTr="00917147">
        <w:tc>
          <w:tcPr>
            <w:tcW w:w="1885" w:type="dxa"/>
          </w:tcPr>
          <w:p w14:paraId="00FEFD13"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VOE</w:t>
            </w:r>
          </w:p>
        </w:tc>
        <w:tc>
          <w:tcPr>
            <w:tcW w:w="7470" w:type="dxa"/>
          </w:tcPr>
          <w:p w14:paraId="513F5FCC"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 xml:space="preserve">Vaso-Occlusive Events </w:t>
            </w:r>
          </w:p>
        </w:tc>
      </w:tr>
      <w:tr w:rsidR="000F1D8D" w:rsidRPr="000F1D8D" w14:paraId="652028E3" w14:textId="77777777" w:rsidTr="00917147">
        <w:tc>
          <w:tcPr>
            <w:tcW w:w="1885" w:type="dxa"/>
          </w:tcPr>
          <w:p w14:paraId="63783DFC"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lastRenderedPageBreak/>
              <w:t xml:space="preserve">PDC </w:t>
            </w:r>
          </w:p>
        </w:tc>
        <w:tc>
          <w:tcPr>
            <w:tcW w:w="7470" w:type="dxa"/>
          </w:tcPr>
          <w:p w14:paraId="16EEE050"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 xml:space="preserve">Proportion of Days Covered </w:t>
            </w:r>
          </w:p>
        </w:tc>
      </w:tr>
      <w:tr w:rsidR="000F1D8D" w:rsidRPr="000F1D8D" w14:paraId="26593032" w14:textId="77777777" w:rsidTr="00917147">
        <w:tc>
          <w:tcPr>
            <w:tcW w:w="1885" w:type="dxa"/>
          </w:tcPr>
          <w:p w14:paraId="1DCD85C7"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 xml:space="preserve">BMC </w:t>
            </w:r>
          </w:p>
        </w:tc>
        <w:tc>
          <w:tcPr>
            <w:tcW w:w="7470" w:type="dxa"/>
          </w:tcPr>
          <w:p w14:paraId="7091D9B0"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Boston Medical Center</w:t>
            </w:r>
          </w:p>
        </w:tc>
      </w:tr>
      <w:tr w:rsidR="000F1D8D" w:rsidRPr="000F1D8D" w14:paraId="58B521CF" w14:textId="77777777" w:rsidTr="00917147">
        <w:tc>
          <w:tcPr>
            <w:tcW w:w="1885" w:type="dxa"/>
          </w:tcPr>
          <w:p w14:paraId="469AC05C"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IRB</w:t>
            </w:r>
          </w:p>
        </w:tc>
        <w:tc>
          <w:tcPr>
            <w:tcW w:w="7470" w:type="dxa"/>
          </w:tcPr>
          <w:p w14:paraId="39D26D3A"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 xml:space="preserve">Institutional Review Board </w:t>
            </w:r>
          </w:p>
        </w:tc>
      </w:tr>
      <w:tr w:rsidR="000F1D8D" w:rsidRPr="000F1D8D" w14:paraId="3E773179" w14:textId="77777777" w:rsidTr="00917147">
        <w:tc>
          <w:tcPr>
            <w:tcW w:w="1885" w:type="dxa"/>
          </w:tcPr>
          <w:p w14:paraId="37DEF6F0"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ANC</w:t>
            </w:r>
          </w:p>
        </w:tc>
        <w:tc>
          <w:tcPr>
            <w:tcW w:w="7470" w:type="dxa"/>
          </w:tcPr>
          <w:p w14:paraId="7FB42EE0"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 xml:space="preserve">Absolute Neutrophil Count </w:t>
            </w:r>
          </w:p>
        </w:tc>
      </w:tr>
      <w:tr w:rsidR="000F1D8D" w:rsidRPr="000F1D8D" w14:paraId="6078D5D3" w14:textId="77777777" w:rsidTr="00917147">
        <w:tc>
          <w:tcPr>
            <w:tcW w:w="1885" w:type="dxa"/>
          </w:tcPr>
          <w:p w14:paraId="7DB1D096"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ED</w:t>
            </w:r>
          </w:p>
        </w:tc>
        <w:tc>
          <w:tcPr>
            <w:tcW w:w="7470" w:type="dxa"/>
          </w:tcPr>
          <w:p w14:paraId="299BFE55"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Emergency Department</w:t>
            </w:r>
          </w:p>
        </w:tc>
      </w:tr>
      <w:tr w:rsidR="000F1D8D" w:rsidRPr="000F1D8D" w14:paraId="0134788B" w14:textId="77777777" w:rsidTr="00917147">
        <w:tc>
          <w:tcPr>
            <w:tcW w:w="1885" w:type="dxa"/>
          </w:tcPr>
          <w:p w14:paraId="16AFDC6B"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proofErr w:type="spellStart"/>
            <w:r w:rsidRPr="000F1D8D">
              <w:rPr>
                <w:rFonts w:ascii="Arial" w:eastAsia="Times New Roman" w:hAnsi="Arial" w:cs="Arial"/>
                <w:color w:val="1C1D1E"/>
                <w:sz w:val="22"/>
                <w:szCs w:val="22"/>
              </w:rPr>
              <w:t>HbF</w:t>
            </w:r>
            <w:proofErr w:type="spellEnd"/>
          </w:p>
        </w:tc>
        <w:tc>
          <w:tcPr>
            <w:tcW w:w="7470" w:type="dxa"/>
          </w:tcPr>
          <w:p w14:paraId="73A7A366"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Fetal Hemoglobin</w:t>
            </w:r>
          </w:p>
        </w:tc>
      </w:tr>
      <w:tr w:rsidR="000F1D8D" w:rsidRPr="000F1D8D" w14:paraId="5B191378" w14:textId="77777777" w:rsidTr="00917147">
        <w:tc>
          <w:tcPr>
            <w:tcW w:w="1885" w:type="dxa"/>
          </w:tcPr>
          <w:p w14:paraId="550122F8"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proofErr w:type="spellStart"/>
            <w:r w:rsidRPr="000F1D8D">
              <w:rPr>
                <w:rFonts w:ascii="Arial" w:eastAsia="Times New Roman" w:hAnsi="Arial" w:cs="Arial"/>
                <w:color w:val="1C1D1E"/>
                <w:sz w:val="22"/>
                <w:szCs w:val="22"/>
              </w:rPr>
              <w:t>HbSS</w:t>
            </w:r>
            <w:proofErr w:type="spellEnd"/>
          </w:p>
        </w:tc>
        <w:tc>
          <w:tcPr>
            <w:tcW w:w="7470" w:type="dxa"/>
          </w:tcPr>
          <w:p w14:paraId="27A75FF5"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 xml:space="preserve">Sickle Hemoglobin </w:t>
            </w:r>
          </w:p>
        </w:tc>
      </w:tr>
      <w:tr w:rsidR="000F1D8D" w:rsidRPr="000F1D8D" w14:paraId="1FB5CDCF" w14:textId="77777777" w:rsidTr="00917147">
        <w:tc>
          <w:tcPr>
            <w:tcW w:w="1885" w:type="dxa"/>
          </w:tcPr>
          <w:p w14:paraId="6C0CB7C9"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HgSB</w:t>
            </w:r>
            <w:r w:rsidRPr="000F1D8D">
              <w:rPr>
                <w:rFonts w:ascii="Arial" w:eastAsia="Times New Roman" w:hAnsi="Arial" w:cs="Arial"/>
                <w:color w:val="1C1D1E"/>
                <w:sz w:val="22"/>
                <w:szCs w:val="22"/>
                <w:vertAlign w:val="superscript"/>
              </w:rPr>
              <w:t>0</w:t>
            </w:r>
          </w:p>
        </w:tc>
        <w:tc>
          <w:tcPr>
            <w:tcW w:w="7470" w:type="dxa"/>
          </w:tcPr>
          <w:p w14:paraId="3EF38804"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Sickle Beta Zero Thalassemia</w:t>
            </w:r>
          </w:p>
        </w:tc>
      </w:tr>
      <w:tr w:rsidR="000F1D8D" w:rsidRPr="000F1D8D" w14:paraId="7935B790" w14:textId="77777777" w:rsidTr="00917147">
        <w:tc>
          <w:tcPr>
            <w:tcW w:w="1885" w:type="dxa"/>
          </w:tcPr>
          <w:p w14:paraId="1CA53533"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proofErr w:type="spellStart"/>
            <w:r w:rsidRPr="000F1D8D">
              <w:rPr>
                <w:rFonts w:ascii="Arial" w:eastAsia="Times New Roman" w:hAnsi="Arial" w:cs="Arial"/>
                <w:color w:val="1C1D1E"/>
                <w:sz w:val="22"/>
                <w:szCs w:val="22"/>
              </w:rPr>
              <w:t>HbSC</w:t>
            </w:r>
            <w:proofErr w:type="spellEnd"/>
          </w:p>
        </w:tc>
        <w:tc>
          <w:tcPr>
            <w:tcW w:w="7470" w:type="dxa"/>
          </w:tcPr>
          <w:p w14:paraId="08F6A572"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Hemoglobin Sickle C Disease</w:t>
            </w:r>
          </w:p>
        </w:tc>
      </w:tr>
      <w:tr w:rsidR="000F1D8D" w:rsidRPr="000F1D8D" w14:paraId="2E2526A4" w14:textId="77777777" w:rsidTr="00917147">
        <w:tc>
          <w:tcPr>
            <w:tcW w:w="1885" w:type="dxa"/>
          </w:tcPr>
          <w:p w14:paraId="1CD01583"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BMI</w:t>
            </w:r>
          </w:p>
        </w:tc>
        <w:tc>
          <w:tcPr>
            <w:tcW w:w="7470" w:type="dxa"/>
          </w:tcPr>
          <w:p w14:paraId="75D6025A"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 xml:space="preserve">Body Mass Index </w:t>
            </w:r>
          </w:p>
        </w:tc>
      </w:tr>
      <w:tr w:rsidR="000F1D8D" w:rsidRPr="000F1D8D" w14:paraId="6839D5DF" w14:textId="77777777" w:rsidTr="00917147">
        <w:tc>
          <w:tcPr>
            <w:tcW w:w="1885" w:type="dxa"/>
          </w:tcPr>
          <w:p w14:paraId="62482370"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hAnsi="Arial" w:cs="Arial"/>
                <w:color w:val="212121"/>
                <w:sz w:val="22"/>
                <w:szCs w:val="22"/>
                <w:shd w:val="clear" w:color="auto" w:fill="FFFFFF"/>
              </w:rPr>
              <w:t>BABY HUG</w:t>
            </w:r>
          </w:p>
        </w:tc>
        <w:tc>
          <w:tcPr>
            <w:tcW w:w="7470" w:type="dxa"/>
          </w:tcPr>
          <w:p w14:paraId="048472EE"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hAnsi="Arial" w:cs="Arial"/>
                <w:color w:val="212121"/>
                <w:sz w:val="22"/>
                <w:szCs w:val="22"/>
                <w:shd w:val="clear" w:color="auto" w:fill="FFFFFF"/>
              </w:rPr>
              <w:t>The Pediatric Hydroxyurea Phase 3 Clinical Trial</w:t>
            </w:r>
          </w:p>
        </w:tc>
      </w:tr>
      <w:tr w:rsidR="000F1D8D" w:rsidRPr="000F1D8D" w14:paraId="73C3E900" w14:textId="77777777" w:rsidTr="00917147">
        <w:tc>
          <w:tcPr>
            <w:tcW w:w="1885" w:type="dxa"/>
          </w:tcPr>
          <w:p w14:paraId="0DCEBBCF"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TCD</w:t>
            </w:r>
          </w:p>
        </w:tc>
        <w:tc>
          <w:tcPr>
            <w:tcW w:w="7470" w:type="dxa"/>
          </w:tcPr>
          <w:p w14:paraId="4F07A7F9" w14:textId="77777777" w:rsidR="000F1D8D" w:rsidRPr="000F1D8D" w:rsidRDefault="000F1D8D" w:rsidP="005452BF">
            <w:pPr>
              <w:spacing w:before="100" w:beforeAutospacing="1" w:after="100" w:afterAutospacing="1" w:line="240" w:lineRule="exact"/>
              <w:contextualSpacing/>
              <w:rPr>
                <w:rFonts w:ascii="Arial" w:eastAsia="Times New Roman" w:hAnsi="Arial" w:cs="Arial"/>
                <w:color w:val="1C1D1E"/>
                <w:sz w:val="22"/>
                <w:szCs w:val="22"/>
              </w:rPr>
            </w:pPr>
            <w:r w:rsidRPr="000F1D8D">
              <w:rPr>
                <w:rFonts w:ascii="Arial" w:eastAsia="Times New Roman" w:hAnsi="Arial" w:cs="Arial"/>
                <w:color w:val="1C1D1E"/>
                <w:sz w:val="22"/>
                <w:szCs w:val="22"/>
              </w:rPr>
              <w:t xml:space="preserve">Transcranial Doppler </w:t>
            </w:r>
          </w:p>
        </w:tc>
      </w:tr>
    </w:tbl>
    <w:p w14:paraId="20FB837B" w14:textId="77777777" w:rsidR="000F1D8D" w:rsidRPr="000F1D8D" w:rsidRDefault="000F1D8D" w:rsidP="005452BF">
      <w:pPr>
        <w:shd w:val="clear" w:color="auto" w:fill="FFFFFF"/>
        <w:spacing w:before="100" w:beforeAutospacing="1" w:after="100" w:afterAutospacing="1" w:line="240" w:lineRule="exact"/>
        <w:contextualSpacing/>
        <w:rPr>
          <w:rFonts w:ascii="Arial" w:eastAsia="Times New Roman" w:hAnsi="Arial" w:cs="Arial"/>
          <w:color w:val="1C1D1E"/>
          <w:sz w:val="22"/>
          <w:szCs w:val="22"/>
        </w:rPr>
      </w:pPr>
    </w:p>
    <w:p w14:paraId="529ED9FF" w14:textId="604CF89D" w:rsidR="000F1D8D" w:rsidRPr="000F1D8D" w:rsidRDefault="000F1D8D" w:rsidP="005452BF">
      <w:pPr>
        <w:pStyle w:val="Footer"/>
        <w:spacing w:line="240" w:lineRule="exact"/>
        <w:jc w:val="both"/>
        <w:rPr>
          <w:rFonts w:ascii="Arial" w:hAnsi="Arial" w:cs="Arial"/>
          <w:sz w:val="22"/>
          <w:szCs w:val="22"/>
        </w:rPr>
      </w:pPr>
      <w:r w:rsidRPr="000F1D8D">
        <w:rPr>
          <w:rFonts w:ascii="Arial" w:hAnsi="Arial" w:cs="Arial"/>
          <w:sz w:val="22"/>
          <w:szCs w:val="22"/>
        </w:rPr>
        <w:t xml:space="preserve">* Oral poster presentation at the 16th Annual Sickle Cell Disease Research and Educational Symposium (6/10/2022), Fort Lauderdale, Florida. Adherence outcomes of a liquid hydroxyurea delivery program in a pediatric population. </w:t>
      </w:r>
      <w:hyperlink r:id="rId9" w:history="1">
        <w:r w:rsidRPr="000F1D8D">
          <w:rPr>
            <w:rStyle w:val="Hyperlink"/>
            <w:rFonts w:ascii="Arial" w:hAnsi="Arial" w:cs="Arial"/>
            <w:sz w:val="22"/>
            <w:szCs w:val="22"/>
          </w:rPr>
          <w:t>Final-June-10-2022-JSCDH-Publication.pdf (fscdr.org)</w:t>
        </w:r>
      </w:hyperlink>
    </w:p>
    <w:p w14:paraId="70063F1F" w14:textId="77777777" w:rsidR="000F1D8D" w:rsidRDefault="000F1D8D" w:rsidP="005452BF">
      <w:pPr>
        <w:spacing w:line="240" w:lineRule="exact"/>
        <w:jc w:val="both"/>
        <w:rPr>
          <w:rFonts w:ascii="Arial" w:hAnsi="Arial" w:cs="Arial"/>
          <w:sz w:val="22"/>
          <w:szCs w:val="22"/>
        </w:rPr>
      </w:pPr>
    </w:p>
    <w:p w14:paraId="516C2CA4" w14:textId="77777777" w:rsidR="005452BF" w:rsidRDefault="005452BF" w:rsidP="005452BF">
      <w:pPr>
        <w:spacing w:line="240" w:lineRule="exact"/>
        <w:jc w:val="both"/>
        <w:rPr>
          <w:rFonts w:ascii="Arial" w:hAnsi="Arial" w:cs="Arial"/>
          <w:sz w:val="22"/>
          <w:szCs w:val="22"/>
        </w:rPr>
      </w:pPr>
    </w:p>
    <w:p w14:paraId="184038C0" w14:textId="77777777" w:rsidR="005452BF" w:rsidRDefault="005452BF" w:rsidP="005452BF">
      <w:pPr>
        <w:spacing w:line="240" w:lineRule="exact"/>
        <w:jc w:val="both"/>
        <w:rPr>
          <w:rFonts w:ascii="Arial" w:hAnsi="Arial" w:cs="Arial"/>
          <w:sz w:val="22"/>
          <w:szCs w:val="22"/>
        </w:rPr>
      </w:pPr>
    </w:p>
    <w:p w14:paraId="05159147" w14:textId="77777777" w:rsidR="005452BF" w:rsidRDefault="005452BF" w:rsidP="005452BF">
      <w:pPr>
        <w:spacing w:line="240" w:lineRule="exact"/>
        <w:jc w:val="both"/>
        <w:rPr>
          <w:rFonts w:ascii="Arial" w:hAnsi="Arial" w:cs="Arial"/>
          <w:sz w:val="22"/>
          <w:szCs w:val="22"/>
        </w:rPr>
      </w:pPr>
    </w:p>
    <w:p w14:paraId="00FB81CD" w14:textId="77777777" w:rsidR="005452BF" w:rsidRDefault="005452BF" w:rsidP="005452BF">
      <w:pPr>
        <w:spacing w:line="240" w:lineRule="exact"/>
        <w:jc w:val="both"/>
        <w:rPr>
          <w:rFonts w:ascii="Arial" w:hAnsi="Arial" w:cs="Arial"/>
          <w:sz w:val="22"/>
          <w:szCs w:val="22"/>
        </w:rPr>
      </w:pPr>
    </w:p>
    <w:p w14:paraId="485BB3EF" w14:textId="77777777" w:rsidR="005452BF" w:rsidRDefault="005452BF" w:rsidP="005452BF">
      <w:pPr>
        <w:spacing w:line="240" w:lineRule="exact"/>
        <w:jc w:val="both"/>
        <w:rPr>
          <w:rFonts w:ascii="Arial" w:hAnsi="Arial" w:cs="Arial"/>
          <w:sz w:val="22"/>
          <w:szCs w:val="22"/>
        </w:rPr>
      </w:pPr>
    </w:p>
    <w:p w14:paraId="6F804536" w14:textId="77777777" w:rsidR="005452BF" w:rsidRDefault="005452BF" w:rsidP="005452BF">
      <w:pPr>
        <w:spacing w:line="240" w:lineRule="exact"/>
        <w:jc w:val="both"/>
        <w:rPr>
          <w:rFonts w:ascii="Arial" w:hAnsi="Arial" w:cs="Arial"/>
          <w:sz w:val="22"/>
          <w:szCs w:val="22"/>
        </w:rPr>
      </w:pPr>
    </w:p>
    <w:p w14:paraId="6867000E" w14:textId="77777777" w:rsidR="005452BF" w:rsidRDefault="005452BF" w:rsidP="005452BF">
      <w:pPr>
        <w:spacing w:line="240" w:lineRule="exact"/>
        <w:jc w:val="both"/>
        <w:rPr>
          <w:rFonts w:ascii="Arial" w:hAnsi="Arial" w:cs="Arial"/>
          <w:sz w:val="22"/>
          <w:szCs w:val="22"/>
        </w:rPr>
      </w:pPr>
    </w:p>
    <w:p w14:paraId="187D247D" w14:textId="77777777" w:rsidR="005452BF" w:rsidRDefault="005452BF" w:rsidP="005452BF">
      <w:pPr>
        <w:spacing w:line="240" w:lineRule="exact"/>
        <w:jc w:val="both"/>
        <w:rPr>
          <w:rFonts w:ascii="Arial" w:hAnsi="Arial" w:cs="Arial"/>
          <w:sz w:val="22"/>
          <w:szCs w:val="22"/>
        </w:rPr>
      </w:pPr>
    </w:p>
    <w:p w14:paraId="3FEA723A" w14:textId="77777777" w:rsidR="005452BF" w:rsidRDefault="005452BF" w:rsidP="005452BF">
      <w:pPr>
        <w:spacing w:line="240" w:lineRule="exact"/>
        <w:jc w:val="both"/>
        <w:rPr>
          <w:rFonts w:ascii="Arial" w:hAnsi="Arial" w:cs="Arial"/>
          <w:sz w:val="22"/>
          <w:szCs w:val="22"/>
        </w:rPr>
      </w:pPr>
    </w:p>
    <w:p w14:paraId="43E8021C" w14:textId="77777777" w:rsidR="005452BF" w:rsidRDefault="005452BF" w:rsidP="005452BF">
      <w:pPr>
        <w:spacing w:line="240" w:lineRule="exact"/>
        <w:jc w:val="both"/>
        <w:rPr>
          <w:rFonts w:ascii="Arial" w:hAnsi="Arial" w:cs="Arial"/>
          <w:sz w:val="22"/>
          <w:szCs w:val="22"/>
        </w:rPr>
      </w:pPr>
    </w:p>
    <w:p w14:paraId="73557D35" w14:textId="77777777" w:rsidR="005452BF" w:rsidRDefault="005452BF" w:rsidP="005452BF">
      <w:pPr>
        <w:spacing w:line="240" w:lineRule="exact"/>
        <w:jc w:val="both"/>
        <w:rPr>
          <w:rFonts w:ascii="Arial" w:hAnsi="Arial" w:cs="Arial"/>
          <w:sz w:val="22"/>
          <w:szCs w:val="22"/>
        </w:rPr>
      </w:pPr>
    </w:p>
    <w:p w14:paraId="3D2EE902" w14:textId="77777777" w:rsidR="005452BF" w:rsidRDefault="005452BF" w:rsidP="005452BF">
      <w:pPr>
        <w:spacing w:line="240" w:lineRule="exact"/>
        <w:jc w:val="both"/>
        <w:rPr>
          <w:rFonts w:ascii="Arial" w:hAnsi="Arial" w:cs="Arial"/>
          <w:sz w:val="22"/>
          <w:szCs w:val="22"/>
        </w:rPr>
      </w:pPr>
    </w:p>
    <w:p w14:paraId="0D2BBF1F" w14:textId="77777777" w:rsidR="005452BF" w:rsidRDefault="005452BF" w:rsidP="005452BF">
      <w:pPr>
        <w:spacing w:line="240" w:lineRule="exact"/>
        <w:jc w:val="both"/>
        <w:rPr>
          <w:rFonts w:ascii="Arial" w:hAnsi="Arial" w:cs="Arial"/>
          <w:sz w:val="22"/>
          <w:szCs w:val="22"/>
        </w:rPr>
      </w:pPr>
    </w:p>
    <w:p w14:paraId="28F15C4D" w14:textId="77777777" w:rsidR="005452BF" w:rsidRDefault="005452BF" w:rsidP="005452BF">
      <w:pPr>
        <w:spacing w:line="240" w:lineRule="exact"/>
        <w:jc w:val="both"/>
        <w:rPr>
          <w:rFonts w:ascii="Arial" w:hAnsi="Arial" w:cs="Arial"/>
          <w:sz w:val="22"/>
          <w:szCs w:val="22"/>
        </w:rPr>
      </w:pPr>
    </w:p>
    <w:p w14:paraId="3235AD75" w14:textId="77777777" w:rsidR="005452BF" w:rsidRDefault="005452BF" w:rsidP="005452BF">
      <w:pPr>
        <w:spacing w:line="240" w:lineRule="exact"/>
        <w:jc w:val="both"/>
        <w:rPr>
          <w:rFonts w:ascii="Arial" w:hAnsi="Arial" w:cs="Arial"/>
          <w:sz w:val="22"/>
          <w:szCs w:val="22"/>
        </w:rPr>
      </w:pPr>
    </w:p>
    <w:p w14:paraId="464A8AB6" w14:textId="77777777" w:rsidR="005452BF" w:rsidRDefault="005452BF" w:rsidP="005452BF">
      <w:pPr>
        <w:spacing w:line="240" w:lineRule="exact"/>
        <w:jc w:val="both"/>
        <w:rPr>
          <w:rFonts w:ascii="Arial" w:hAnsi="Arial" w:cs="Arial"/>
          <w:sz w:val="22"/>
          <w:szCs w:val="22"/>
        </w:rPr>
      </w:pPr>
    </w:p>
    <w:p w14:paraId="39B7AE20" w14:textId="77777777" w:rsidR="005452BF" w:rsidRDefault="005452BF" w:rsidP="005452BF">
      <w:pPr>
        <w:spacing w:line="240" w:lineRule="exact"/>
        <w:jc w:val="both"/>
        <w:rPr>
          <w:rFonts w:ascii="Arial" w:hAnsi="Arial" w:cs="Arial"/>
          <w:sz w:val="22"/>
          <w:szCs w:val="22"/>
        </w:rPr>
      </w:pPr>
    </w:p>
    <w:p w14:paraId="6D832171" w14:textId="77777777" w:rsidR="005452BF" w:rsidRDefault="005452BF" w:rsidP="005452BF">
      <w:pPr>
        <w:spacing w:line="240" w:lineRule="exact"/>
        <w:jc w:val="both"/>
        <w:rPr>
          <w:rFonts w:ascii="Arial" w:hAnsi="Arial" w:cs="Arial"/>
          <w:sz w:val="22"/>
          <w:szCs w:val="22"/>
        </w:rPr>
      </w:pPr>
    </w:p>
    <w:p w14:paraId="104F66F7" w14:textId="77777777" w:rsidR="005452BF" w:rsidRDefault="005452BF" w:rsidP="005452BF">
      <w:pPr>
        <w:spacing w:line="240" w:lineRule="exact"/>
        <w:jc w:val="both"/>
        <w:rPr>
          <w:rFonts w:ascii="Arial" w:hAnsi="Arial" w:cs="Arial"/>
          <w:sz w:val="22"/>
          <w:szCs w:val="22"/>
        </w:rPr>
      </w:pPr>
    </w:p>
    <w:p w14:paraId="2217F03A" w14:textId="77777777" w:rsidR="005452BF" w:rsidRDefault="005452BF" w:rsidP="005452BF">
      <w:pPr>
        <w:spacing w:line="240" w:lineRule="exact"/>
        <w:jc w:val="both"/>
        <w:rPr>
          <w:rFonts w:ascii="Arial" w:hAnsi="Arial" w:cs="Arial"/>
          <w:sz w:val="22"/>
          <w:szCs w:val="22"/>
        </w:rPr>
      </w:pPr>
    </w:p>
    <w:p w14:paraId="7AB8C247" w14:textId="77777777" w:rsidR="005452BF" w:rsidRDefault="005452BF" w:rsidP="005452BF">
      <w:pPr>
        <w:spacing w:line="240" w:lineRule="exact"/>
        <w:jc w:val="both"/>
        <w:rPr>
          <w:rFonts w:ascii="Arial" w:hAnsi="Arial" w:cs="Arial"/>
          <w:sz w:val="22"/>
          <w:szCs w:val="22"/>
        </w:rPr>
      </w:pPr>
    </w:p>
    <w:p w14:paraId="21D3467C" w14:textId="77777777" w:rsidR="005452BF" w:rsidRDefault="005452BF" w:rsidP="005452BF">
      <w:pPr>
        <w:spacing w:line="240" w:lineRule="exact"/>
        <w:jc w:val="both"/>
        <w:rPr>
          <w:rFonts w:ascii="Arial" w:hAnsi="Arial" w:cs="Arial"/>
          <w:sz w:val="22"/>
          <w:szCs w:val="22"/>
        </w:rPr>
      </w:pPr>
    </w:p>
    <w:p w14:paraId="77E1E567" w14:textId="77777777" w:rsidR="005452BF" w:rsidRDefault="005452BF" w:rsidP="005452BF">
      <w:pPr>
        <w:spacing w:line="240" w:lineRule="exact"/>
        <w:jc w:val="both"/>
        <w:rPr>
          <w:rFonts w:ascii="Arial" w:hAnsi="Arial" w:cs="Arial"/>
          <w:sz w:val="22"/>
          <w:szCs w:val="22"/>
        </w:rPr>
      </w:pPr>
    </w:p>
    <w:p w14:paraId="27640276" w14:textId="77777777" w:rsidR="005452BF" w:rsidRDefault="005452BF" w:rsidP="005452BF">
      <w:pPr>
        <w:spacing w:line="240" w:lineRule="exact"/>
        <w:jc w:val="both"/>
        <w:rPr>
          <w:rFonts w:ascii="Arial" w:hAnsi="Arial" w:cs="Arial"/>
          <w:sz w:val="22"/>
          <w:szCs w:val="22"/>
        </w:rPr>
      </w:pPr>
    </w:p>
    <w:p w14:paraId="46B1F853" w14:textId="77777777" w:rsidR="005452BF" w:rsidRDefault="005452BF" w:rsidP="005452BF">
      <w:pPr>
        <w:spacing w:line="240" w:lineRule="exact"/>
        <w:jc w:val="both"/>
        <w:rPr>
          <w:rFonts w:ascii="Arial" w:hAnsi="Arial" w:cs="Arial"/>
          <w:sz w:val="22"/>
          <w:szCs w:val="22"/>
        </w:rPr>
      </w:pPr>
    </w:p>
    <w:p w14:paraId="79916123" w14:textId="77777777" w:rsidR="005452BF" w:rsidRDefault="005452BF" w:rsidP="005452BF">
      <w:pPr>
        <w:spacing w:line="240" w:lineRule="exact"/>
        <w:jc w:val="both"/>
        <w:rPr>
          <w:rFonts w:ascii="Arial" w:hAnsi="Arial" w:cs="Arial"/>
          <w:sz w:val="22"/>
          <w:szCs w:val="22"/>
        </w:rPr>
      </w:pPr>
    </w:p>
    <w:p w14:paraId="53BF6553" w14:textId="77777777" w:rsidR="005452BF" w:rsidRDefault="005452BF" w:rsidP="005452BF">
      <w:pPr>
        <w:spacing w:line="240" w:lineRule="exact"/>
        <w:jc w:val="both"/>
        <w:rPr>
          <w:rFonts w:ascii="Arial" w:hAnsi="Arial" w:cs="Arial"/>
          <w:sz w:val="22"/>
          <w:szCs w:val="22"/>
        </w:rPr>
      </w:pPr>
    </w:p>
    <w:p w14:paraId="42B1221C" w14:textId="77777777" w:rsidR="005452BF" w:rsidRDefault="005452BF" w:rsidP="005452BF">
      <w:pPr>
        <w:spacing w:line="240" w:lineRule="exact"/>
        <w:jc w:val="both"/>
        <w:rPr>
          <w:rFonts w:ascii="Arial" w:hAnsi="Arial" w:cs="Arial"/>
          <w:sz w:val="22"/>
          <w:szCs w:val="22"/>
        </w:rPr>
      </w:pPr>
    </w:p>
    <w:p w14:paraId="4F717006" w14:textId="77777777" w:rsidR="005452BF" w:rsidRDefault="005452BF" w:rsidP="005452BF">
      <w:pPr>
        <w:spacing w:line="240" w:lineRule="exact"/>
        <w:jc w:val="both"/>
        <w:rPr>
          <w:rFonts w:ascii="Arial" w:hAnsi="Arial" w:cs="Arial"/>
          <w:sz w:val="22"/>
          <w:szCs w:val="22"/>
        </w:rPr>
      </w:pPr>
    </w:p>
    <w:p w14:paraId="481336D5" w14:textId="77777777" w:rsidR="005452BF" w:rsidRDefault="005452BF" w:rsidP="005452BF">
      <w:pPr>
        <w:spacing w:line="240" w:lineRule="exact"/>
        <w:jc w:val="both"/>
        <w:rPr>
          <w:rFonts w:ascii="Arial" w:hAnsi="Arial" w:cs="Arial"/>
          <w:sz w:val="22"/>
          <w:szCs w:val="22"/>
        </w:rPr>
      </w:pPr>
    </w:p>
    <w:p w14:paraId="266BADEC" w14:textId="77777777" w:rsidR="005452BF" w:rsidRDefault="005452BF" w:rsidP="005452BF">
      <w:pPr>
        <w:spacing w:line="240" w:lineRule="exact"/>
        <w:jc w:val="both"/>
        <w:rPr>
          <w:rFonts w:ascii="Arial" w:hAnsi="Arial" w:cs="Arial"/>
          <w:sz w:val="22"/>
          <w:szCs w:val="22"/>
        </w:rPr>
      </w:pPr>
    </w:p>
    <w:p w14:paraId="19597675" w14:textId="77777777" w:rsidR="005452BF" w:rsidRDefault="005452BF" w:rsidP="005452BF">
      <w:pPr>
        <w:spacing w:line="240" w:lineRule="exact"/>
        <w:jc w:val="both"/>
        <w:rPr>
          <w:rFonts w:ascii="Arial" w:hAnsi="Arial" w:cs="Arial"/>
          <w:sz w:val="22"/>
          <w:szCs w:val="22"/>
        </w:rPr>
      </w:pPr>
    </w:p>
    <w:p w14:paraId="2FD76B5F" w14:textId="77777777" w:rsidR="005452BF" w:rsidRDefault="005452BF" w:rsidP="005452BF">
      <w:pPr>
        <w:spacing w:line="240" w:lineRule="exact"/>
        <w:jc w:val="both"/>
        <w:rPr>
          <w:rFonts w:ascii="Arial" w:hAnsi="Arial" w:cs="Arial"/>
          <w:sz w:val="22"/>
          <w:szCs w:val="22"/>
        </w:rPr>
      </w:pPr>
    </w:p>
    <w:p w14:paraId="22D9F8B4" w14:textId="77777777" w:rsidR="005452BF" w:rsidRDefault="005452BF" w:rsidP="005452BF">
      <w:pPr>
        <w:spacing w:line="240" w:lineRule="exact"/>
        <w:jc w:val="both"/>
        <w:rPr>
          <w:rFonts w:ascii="Arial" w:hAnsi="Arial" w:cs="Arial"/>
          <w:sz w:val="22"/>
          <w:szCs w:val="22"/>
        </w:rPr>
      </w:pPr>
    </w:p>
    <w:p w14:paraId="444C00B2" w14:textId="77777777" w:rsidR="005452BF" w:rsidRPr="000F1D8D" w:rsidRDefault="005452BF" w:rsidP="005452BF">
      <w:pPr>
        <w:spacing w:line="240" w:lineRule="exact"/>
        <w:jc w:val="both"/>
        <w:rPr>
          <w:rFonts w:ascii="Arial" w:hAnsi="Arial" w:cs="Arial"/>
          <w:sz w:val="22"/>
          <w:szCs w:val="22"/>
        </w:rPr>
      </w:pPr>
    </w:p>
    <w:p w14:paraId="02A1A5A0" w14:textId="77777777" w:rsidR="00317706" w:rsidRPr="000F1D8D" w:rsidRDefault="00317706" w:rsidP="00EE5008">
      <w:pPr>
        <w:spacing w:line="480" w:lineRule="auto"/>
        <w:rPr>
          <w:rFonts w:ascii="Arial" w:eastAsia="Arial" w:hAnsi="Arial" w:cs="Arial"/>
          <w:b/>
          <w:sz w:val="22"/>
          <w:szCs w:val="22"/>
        </w:rPr>
      </w:pPr>
      <w:r w:rsidRPr="000F1D8D">
        <w:rPr>
          <w:rFonts w:ascii="Arial" w:eastAsia="Arial" w:hAnsi="Arial" w:cs="Arial"/>
          <w:b/>
          <w:sz w:val="22"/>
          <w:szCs w:val="22"/>
        </w:rPr>
        <w:lastRenderedPageBreak/>
        <w:t>Abstract</w:t>
      </w:r>
    </w:p>
    <w:p w14:paraId="0E5B9D41" w14:textId="77777777" w:rsidR="00317706" w:rsidRPr="000F1D8D" w:rsidRDefault="00317706" w:rsidP="00EE5008">
      <w:pPr>
        <w:pStyle w:val="NormalWeb"/>
        <w:spacing w:before="0" w:beforeAutospacing="0" w:after="0" w:afterAutospacing="0" w:line="480" w:lineRule="auto"/>
        <w:jc w:val="both"/>
        <w:rPr>
          <w:rStyle w:val="Strong"/>
          <w:rFonts w:ascii="Arial" w:hAnsi="Arial" w:cs="Arial"/>
          <w:color w:val="0E101A"/>
          <w:sz w:val="22"/>
          <w:szCs w:val="22"/>
        </w:rPr>
      </w:pPr>
    </w:p>
    <w:p w14:paraId="6BAC8DF2" w14:textId="77777777" w:rsidR="00317706" w:rsidRPr="000F1D8D" w:rsidRDefault="00317706" w:rsidP="00EE5008">
      <w:pPr>
        <w:pStyle w:val="NormalWeb"/>
        <w:spacing w:before="0" w:beforeAutospacing="0" w:after="0" w:afterAutospacing="0" w:line="480" w:lineRule="auto"/>
        <w:jc w:val="both"/>
        <w:rPr>
          <w:rFonts w:ascii="Arial" w:hAnsi="Arial" w:cs="Arial"/>
          <w:color w:val="0E101A"/>
          <w:sz w:val="22"/>
          <w:szCs w:val="22"/>
        </w:rPr>
      </w:pPr>
      <w:r w:rsidRPr="000F1D8D">
        <w:rPr>
          <w:rStyle w:val="Strong"/>
          <w:rFonts w:ascii="Arial" w:hAnsi="Arial" w:cs="Arial"/>
          <w:color w:val="0E101A"/>
          <w:sz w:val="22"/>
          <w:szCs w:val="22"/>
        </w:rPr>
        <w:t>Background:</w:t>
      </w:r>
      <w:r w:rsidRPr="000F1D8D">
        <w:rPr>
          <w:rFonts w:ascii="Arial" w:hAnsi="Arial" w:cs="Arial"/>
          <w:color w:val="0E101A"/>
          <w:sz w:val="22"/>
          <w:szCs w:val="22"/>
        </w:rPr>
        <w:t> Hydroxyurea remains underutilized in the pediatric sickle cell population despite its well-known efficacy in decreasing sickle cell complications and hospitalizations. Access to refills and liquid formulation remains a critical barrier to adherence to hydroxyurea regimens.</w:t>
      </w:r>
      <w:r w:rsidRPr="000F1D8D">
        <w:rPr>
          <w:rStyle w:val="Strong"/>
          <w:rFonts w:ascii="Arial" w:hAnsi="Arial" w:cs="Arial"/>
          <w:color w:val="0E101A"/>
          <w:sz w:val="22"/>
          <w:szCs w:val="22"/>
        </w:rPr>
        <w:t xml:space="preserve"> </w:t>
      </w:r>
      <w:r w:rsidRPr="000F1D8D">
        <w:rPr>
          <w:rFonts w:ascii="Arial" w:hAnsi="Arial" w:cs="Arial"/>
          <w:color w:val="0E101A"/>
          <w:sz w:val="22"/>
          <w:szCs w:val="22"/>
        </w:rPr>
        <w:t>This study was undertaken to determine the clinical impact of</w:t>
      </w:r>
      <w:r w:rsidRPr="000F1D8D">
        <w:rPr>
          <w:rStyle w:val="Strong"/>
          <w:rFonts w:ascii="Arial" w:hAnsi="Arial" w:cs="Arial"/>
          <w:color w:val="0E101A"/>
          <w:sz w:val="22"/>
          <w:szCs w:val="22"/>
        </w:rPr>
        <w:t> </w:t>
      </w:r>
      <w:r w:rsidRPr="000F1D8D">
        <w:rPr>
          <w:rFonts w:ascii="Arial" w:hAnsi="Arial" w:cs="Arial"/>
          <w:color w:val="0E101A"/>
          <w:sz w:val="22"/>
          <w:szCs w:val="22"/>
        </w:rPr>
        <w:t xml:space="preserve">home-delivering compounded liquid hydroxyurea (LHU) to pediatric patients with sickle cell disease. </w:t>
      </w:r>
    </w:p>
    <w:p w14:paraId="55CE6AC2" w14:textId="77777777" w:rsidR="00317706" w:rsidRPr="000F1D8D" w:rsidRDefault="00317706" w:rsidP="00EE5008">
      <w:pPr>
        <w:pStyle w:val="NormalWeb"/>
        <w:spacing w:before="0" w:beforeAutospacing="0" w:after="0" w:afterAutospacing="0" w:line="480" w:lineRule="auto"/>
        <w:jc w:val="both"/>
        <w:rPr>
          <w:rFonts w:ascii="Arial" w:hAnsi="Arial" w:cs="Arial"/>
          <w:color w:val="0E101A"/>
          <w:sz w:val="22"/>
          <w:szCs w:val="22"/>
        </w:rPr>
      </w:pPr>
      <w:r w:rsidRPr="000F1D8D">
        <w:rPr>
          <w:rFonts w:ascii="Arial" w:hAnsi="Arial" w:cs="Arial"/>
          <w:color w:val="0E101A"/>
          <w:sz w:val="22"/>
          <w:szCs w:val="22"/>
        </w:rPr>
        <w:t> </w:t>
      </w:r>
    </w:p>
    <w:p w14:paraId="6AE27967" w14:textId="77777777" w:rsidR="00317706" w:rsidRPr="000F1D8D" w:rsidRDefault="00317706" w:rsidP="00EE5008">
      <w:pPr>
        <w:pStyle w:val="NormalWeb"/>
        <w:spacing w:before="0" w:beforeAutospacing="0" w:after="0" w:afterAutospacing="0" w:line="480" w:lineRule="auto"/>
        <w:jc w:val="both"/>
        <w:rPr>
          <w:rFonts w:ascii="Arial" w:hAnsi="Arial" w:cs="Arial"/>
          <w:color w:val="0E101A"/>
          <w:sz w:val="22"/>
          <w:szCs w:val="22"/>
        </w:rPr>
      </w:pPr>
      <w:r w:rsidRPr="000F1D8D">
        <w:rPr>
          <w:rStyle w:val="Strong"/>
          <w:rFonts w:ascii="Arial" w:hAnsi="Arial" w:cs="Arial"/>
          <w:color w:val="0E101A"/>
          <w:sz w:val="22"/>
          <w:szCs w:val="22"/>
        </w:rPr>
        <w:t>Procedure/Methods:</w:t>
      </w:r>
      <w:r w:rsidRPr="000F1D8D">
        <w:rPr>
          <w:rFonts w:ascii="Arial" w:hAnsi="Arial" w:cs="Arial"/>
          <w:color w:val="0E101A"/>
          <w:sz w:val="22"/>
          <w:szCs w:val="22"/>
        </w:rPr>
        <w:t xml:space="preserve"> A retrospective cohort study was conducted using electronic health records and pharmacy databases. Pediatric patients younger than 21 years of hydroxyurea initiation from March 2016 to July 2020 who received compounded LHU from Boston Medical Center Pharmacy were included. The primary outcomes of the study were drug adherence (assessed by evaluating the proportion of days covered), rates of acute care utilization, laboratory values, and growth metrics before and after enrolling in the LHU delivery program. </w:t>
      </w:r>
    </w:p>
    <w:p w14:paraId="0D5857F6" w14:textId="77777777" w:rsidR="00317706" w:rsidRPr="000F1D8D" w:rsidRDefault="00317706" w:rsidP="00EE5008">
      <w:pPr>
        <w:pStyle w:val="NormalWeb"/>
        <w:spacing w:before="0" w:beforeAutospacing="0" w:after="0" w:afterAutospacing="0" w:line="480" w:lineRule="auto"/>
        <w:jc w:val="both"/>
        <w:rPr>
          <w:rFonts w:ascii="Arial" w:hAnsi="Arial" w:cs="Arial"/>
          <w:color w:val="0E101A"/>
          <w:sz w:val="22"/>
          <w:szCs w:val="22"/>
        </w:rPr>
      </w:pPr>
    </w:p>
    <w:p w14:paraId="11332F71" w14:textId="4374E507" w:rsidR="00317706" w:rsidRPr="000F1D8D" w:rsidRDefault="00317706" w:rsidP="00EE5008">
      <w:pPr>
        <w:pStyle w:val="NormalWeb"/>
        <w:spacing w:before="0" w:beforeAutospacing="0" w:after="0" w:afterAutospacing="0" w:line="480" w:lineRule="auto"/>
        <w:jc w:val="both"/>
        <w:rPr>
          <w:rFonts w:ascii="Arial" w:hAnsi="Arial" w:cs="Arial"/>
          <w:color w:val="0E101A"/>
          <w:sz w:val="22"/>
          <w:szCs w:val="22"/>
        </w:rPr>
      </w:pPr>
      <w:r w:rsidRPr="000F1D8D">
        <w:rPr>
          <w:rStyle w:val="Strong"/>
          <w:rFonts w:ascii="Arial" w:hAnsi="Arial" w:cs="Arial"/>
          <w:color w:val="0E101A"/>
          <w:sz w:val="22"/>
          <w:szCs w:val="22"/>
        </w:rPr>
        <w:t>Results:</w:t>
      </w:r>
      <w:r w:rsidRPr="000F1D8D">
        <w:rPr>
          <w:rFonts w:ascii="Arial" w:hAnsi="Arial" w:cs="Arial"/>
          <w:color w:val="0E101A"/>
          <w:sz w:val="22"/>
          <w:szCs w:val="22"/>
        </w:rPr>
        <w:t xml:space="preserve"> The final cohort included 41 patients. Significant increases in hemoglobin 0.34 g/dl (95% CI: 0.04-0.63, p=0.02) and mean corpuscular volume 3.2 FI (95% CI: 0.92-5.4, p=0.007) occurred. Hospitalizations decreased by 51.3% (p=0.01), and acute chest syndrome episodes decreased by 86.4% (p=0.02) post-initiation of the LHU delivery program. Drug adherence had a median value of 0.95 </w:t>
      </w:r>
      <w:r w:rsidR="005452BF" w:rsidRPr="000F1D8D">
        <w:rPr>
          <w:rFonts w:ascii="Arial" w:hAnsi="Arial" w:cs="Arial"/>
          <w:color w:val="0E101A"/>
          <w:sz w:val="22"/>
          <w:szCs w:val="22"/>
        </w:rPr>
        <w:t>one-year</w:t>
      </w:r>
      <w:r w:rsidRPr="000F1D8D">
        <w:rPr>
          <w:rFonts w:ascii="Arial" w:hAnsi="Arial" w:cs="Arial"/>
          <w:color w:val="0E101A"/>
          <w:sz w:val="22"/>
          <w:szCs w:val="22"/>
        </w:rPr>
        <w:t xml:space="preserve"> post-initiation of LHU. </w:t>
      </w:r>
    </w:p>
    <w:p w14:paraId="73AFC8EE" w14:textId="77777777" w:rsidR="00317706" w:rsidRPr="000F1D8D" w:rsidRDefault="00317706" w:rsidP="00EE5008">
      <w:pPr>
        <w:pStyle w:val="NormalWeb"/>
        <w:spacing w:before="0" w:beforeAutospacing="0" w:after="0" w:afterAutospacing="0" w:line="480" w:lineRule="auto"/>
        <w:jc w:val="both"/>
        <w:rPr>
          <w:rFonts w:ascii="Arial" w:hAnsi="Arial" w:cs="Arial"/>
          <w:color w:val="0E101A"/>
          <w:sz w:val="22"/>
          <w:szCs w:val="22"/>
        </w:rPr>
      </w:pPr>
    </w:p>
    <w:p w14:paraId="39BC4C38" w14:textId="77777777" w:rsidR="00317706" w:rsidRPr="000F1D8D" w:rsidRDefault="00317706" w:rsidP="00EE5008">
      <w:pPr>
        <w:pStyle w:val="NormalWeb"/>
        <w:spacing w:before="0" w:beforeAutospacing="0" w:after="0" w:afterAutospacing="0" w:line="480" w:lineRule="auto"/>
        <w:jc w:val="both"/>
        <w:rPr>
          <w:rFonts w:ascii="Arial" w:hAnsi="Arial" w:cs="Arial"/>
          <w:b/>
          <w:bCs/>
          <w:color w:val="0E101A"/>
          <w:sz w:val="22"/>
          <w:szCs w:val="22"/>
        </w:rPr>
      </w:pPr>
      <w:r w:rsidRPr="000F1D8D">
        <w:rPr>
          <w:rStyle w:val="Strong"/>
          <w:rFonts w:ascii="Arial" w:hAnsi="Arial" w:cs="Arial"/>
          <w:color w:val="0E101A"/>
          <w:sz w:val="22"/>
          <w:szCs w:val="22"/>
        </w:rPr>
        <w:t xml:space="preserve">Conclusions: </w:t>
      </w:r>
      <w:r w:rsidRPr="000F1D8D">
        <w:rPr>
          <w:rStyle w:val="Strong"/>
          <w:rFonts w:ascii="Arial" w:hAnsi="Arial" w:cs="Arial"/>
          <w:b w:val="0"/>
          <w:bCs w:val="0"/>
          <w:color w:val="0E101A"/>
          <w:sz w:val="22"/>
          <w:szCs w:val="22"/>
        </w:rPr>
        <w:t>Home delivery of compounded LHU improved drug adherence, decreased hospitalizations, and improved laboratory outcomes in pediatric patients with sickle cell disease by overcoming barriers to access. Nationwide implementation of similar home delivery programs can significantly improve outcomes among pediatric patients with sickle cell disease.</w:t>
      </w:r>
      <w:r w:rsidRPr="000F1D8D">
        <w:rPr>
          <w:rStyle w:val="Strong"/>
          <w:rFonts w:ascii="Arial" w:hAnsi="Arial" w:cs="Arial"/>
          <w:color w:val="0E101A"/>
          <w:sz w:val="22"/>
          <w:szCs w:val="22"/>
        </w:rPr>
        <w:t>  </w:t>
      </w:r>
    </w:p>
    <w:p w14:paraId="07C4E0A1" w14:textId="77777777" w:rsidR="00317706" w:rsidRPr="000F1D8D" w:rsidRDefault="00317706" w:rsidP="00EE5008">
      <w:pPr>
        <w:spacing w:line="480" w:lineRule="auto"/>
        <w:rPr>
          <w:rFonts w:ascii="Arial" w:hAnsi="Arial" w:cs="Arial"/>
          <w:sz w:val="22"/>
          <w:szCs w:val="22"/>
        </w:rPr>
      </w:pPr>
    </w:p>
    <w:p w14:paraId="5CD51098" w14:textId="77777777" w:rsidR="00317706" w:rsidRPr="000F1D8D" w:rsidRDefault="00317706" w:rsidP="00EE5008">
      <w:pPr>
        <w:spacing w:line="480" w:lineRule="auto"/>
        <w:jc w:val="both"/>
        <w:rPr>
          <w:rFonts w:ascii="Arial" w:eastAsia="Arial" w:hAnsi="Arial" w:cs="Arial"/>
          <w:b/>
          <w:sz w:val="22"/>
          <w:szCs w:val="22"/>
        </w:rPr>
      </w:pPr>
    </w:p>
    <w:p w14:paraId="11B584E7" w14:textId="4559A935" w:rsidR="00A87D76" w:rsidRPr="000F1D8D" w:rsidRDefault="00A87D76" w:rsidP="00EE5008">
      <w:pPr>
        <w:spacing w:line="480" w:lineRule="auto"/>
        <w:jc w:val="both"/>
        <w:rPr>
          <w:rFonts w:ascii="Arial" w:eastAsia="Arial" w:hAnsi="Arial" w:cs="Arial"/>
          <w:b/>
          <w:sz w:val="22"/>
          <w:szCs w:val="22"/>
        </w:rPr>
      </w:pPr>
      <w:r w:rsidRPr="000F1D8D">
        <w:rPr>
          <w:rFonts w:ascii="Arial" w:eastAsia="Arial" w:hAnsi="Arial" w:cs="Arial"/>
          <w:b/>
          <w:sz w:val="22"/>
          <w:szCs w:val="22"/>
        </w:rPr>
        <w:t>Introduction</w:t>
      </w:r>
    </w:p>
    <w:p w14:paraId="7BB84790" w14:textId="21ED4AE4" w:rsidR="00A87D76" w:rsidRPr="000F1D8D" w:rsidRDefault="00A87D76" w:rsidP="00EE5008">
      <w:pPr>
        <w:spacing w:line="480" w:lineRule="auto"/>
        <w:jc w:val="both"/>
        <w:rPr>
          <w:rFonts w:ascii="Arial" w:eastAsia="Arial" w:hAnsi="Arial" w:cs="Arial"/>
          <w:sz w:val="22"/>
          <w:szCs w:val="22"/>
        </w:rPr>
      </w:pPr>
      <w:r w:rsidRPr="000F1D8D">
        <w:rPr>
          <w:rFonts w:ascii="Arial" w:eastAsia="Arial" w:hAnsi="Arial" w:cs="Arial"/>
          <w:sz w:val="22"/>
          <w:szCs w:val="22"/>
        </w:rPr>
        <w:t>Sickle cell disease (SCD) is the most common genetic disease in the United States, affecting approximately 100,000 individuals</w:t>
      </w:r>
      <w:r w:rsidRPr="000F1D8D">
        <w:rPr>
          <w:rFonts w:ascii="Arial" w:eastAsia="Arial" w:hAnsi="Arial" w:cs="Arial"/>
          <w:sz w:val="22"/>
          <w:szCs w:val="22"/>
        </w:rPr>
        <w:fldChar w:fldCharType="begin" w:fldLock="1"/>
      </w:r>
      <w:r w:rsidRPr="000F1D8D">
        <w:rPr>
          <w:rFonts w:ascii="Arial" w:eastAsia="Arial" w:hAnsi="Arial" w:cs="Arial"/>
          <w:sz w:val="22"/>
          <w:szCs w:val="22"/>
        </w:rPr>
        <w:instrText>ADDIN CSL_CITATION {"citationItems":[{"id":"ITEM-1","itemData":{"DOI":"10.1002/14651858.CD002202.pub2","ISSN":"14651858","author":[{"dropping-particle":"","family":"Nevitt","given":"Sarah J","non-dropping-particle":"","parse-names":false,"suffix":""},{"dropping-particle":"","family":"Jones","given":"Ashley P","non-dropping-particle":"","parse-names":false,"suffix":""},{"dropping-particle":"","family":"Howard","given":"Jo","non-dropping-particle":"","parse-names":false,"suffix":""}],"container-title":"Cochrane Database of Systematic Reviews","id":"ITEM-1","issued":{"date-parts":[["2017","4","20"]]},"title":"Hydroxyurea (hydroxycarbamide) for sickle cell disease","type":"article-journal"},"uris":["http://www.mendeley.com/documents/?uuid=535fb585-92b9-4f12-a419-90995f7c03d6"]}],"mendeley":{"formattedCitation":"&lt;sup&gt;1&lt;/sup&gt;","plainTextFormattedCitation":"1","previouslyFormattedCitation":"&lt;sup&gt;1&lt;/sup&gt;"},"properties":{"noteIndex":0},"schema":"https://github.com/citation-style-language/schema/raw/master/csl-citation.json"}</w:instrText>
      </w:r>
      <w:r w:rsidRPr="000F1D8D">
        <w:rPr>
          <w:rFonts w:ascii="Arial" w:eastAsia="Arial" w:hAnsi="Arial" w:cs="Arial"/>
          <w:sz w:val="22"/>
          <w:szCs w:val="22"/>
        </w:rPr>
        <w:fldChar w:fldCharType="separate"/>
      </w:r>
      <w:r w:rsidRPr="000F1D8D">
        <w:rPr>
          <w:rFonts w:ascii="Arial" w:eastAsia="Arial" w:hAnsi="Arial" w:cs="Arial"/>
          <w:noProof/>
          <w:sz w:val="22"/>
          <w:szCs w:val="22"/>
          <w:vertAlign w:val="superscript"/>
        </w:rPr>
        <w:t>1</w:t>
      </w:r>
      <w:r w:rsidRPr="000F1D8D">
        <w:rPr>
          <w:rFonts w:ascii="Arial" w:eastAsia="Arial" w:hAnsi="Arial" w:cs="Arial"/>
          <w:sz w:val="22"/>
          <w:szCs w:val="22"/>
        </w:rPr>
        <w:fldChar w:fldCharType="end"/>
      </w:r>
      <w:r w:rsidRPr="000F1D8D">
        <w:rPr>
          <w:rFonts w:ascii="Arial" w:eastAsia="Arial" w:hAnsi="Arial" w:cs="Arial"/>
          <w:sz w:val="22"/>
          <w:szCs w:val="22"/>
        </w:rPr>
        <w:t xml:space="preserve">. Mutations in the beta-globin gene promote sickling of </w:t>
      </w:r>
      <w:sdt>
        <w:sdtPr>
          <w:rPr>
            <w:rFonts w:ascii="Arial" w:hAnsi="Arial" w:cs="Arial"/>
            <w:sz w:val="22"/>
            <w:szCs w:val="22"/>
          </w:rPr>
          <w:tag w:val="goog_rdk_4"/>
          <w:id w:val="-392882696"/>
        </w:sdtPr>
        <w:sdtEndPr/>
        <w:sdtContent>
          <w:r w:rsidRPr="000F1D8D">
            <w:rPr>
              <w:rFonts w:ascii="Arial" w:eastAsia="Arial" w:hAnsi="Arial" w:cs="Arial"/>
              <w:sz w:val="22"/>
              <w:szCs w:val="22"/>
            </w:rPr>
            <w:t>erythrocytes,</w:t>
          </w:r>
        </w:sdtContent>
      </w:sdt>
      <w:r w:rsidRPr="000F1D8D">
        <w:rPr>
          <w:rFonts w:ascii="Arial" w:eastAsia="Arial" w:hAnsi="Arial" w:cs="Arial"/>
          <w:sz w:val="22"/>
          <w:szCs w:val="22"/>
        </w:rPr>
        <w:t xml:space="preserve"> leading to </w:t>
      </w:r>
      <w:proofErr w:type="spellStart"/>
      <w:r w:rsidRPr="000F1D8D">
        <w:rPr>
          <w:rFonts w:ascii="Arial" w:eastAsia="Arial" w:hAnsi="Arial" w:cs="Arial"/>
          <w:sz w:val="22"/>
          <w:szCs w:val="22"/>
        </w:rPr>
        <w:t>vaso</w:t>
      </w:r>
      <w:proofErr w:type="spellEnd"/>
      <w:r w:rsidRPr="000F1D8D">
        <w:rPr>
          <w:rFonts w:ascii="Arial" w:eastAsia="Arial" w:hAnsi="Arial" w:cs="Arial"/>
          <w:sz w:val="22"/>
          <w:szCs w:val="22"/>
        </w:rPr>
        <w:t>-occlusive episodes (VOEs), acute chest syndrome (ACS), and hospitalizations</w:t>
      </w:r>
      <w:r w:rsidR="00DD37EA" w:rsidRPr="000F1D8D">
        <w:rPr>
          <w:rFonts w:ascii="Arial" w:eastAsia="Arial" w:hAnsi="Arial" w:cs="Arial"/>
          <w:sz w:val="22"/>
          <w:szCs w:val="22"/>
        </w:rPr>
        <w:fldChar w:fldCharType="begin" w:fldLock="1"/>
      </w:r>
      <w:r w:rsidR="00DD37EA" w:rsidRPr="000F1D8D">
        <w:rPr>
          <w:rFonts w:ascii="Arial" w:eastAsia="Arial" w:hAnsi="Arial" w:cs="Arial"/>
          <w:sz w:val="22"/>
          <w:szCs w:val="22"/>
        </w:rPr>
        <w:instrText>ADDIN CSL_CITATION {"citationItems":[{"id":"ITEM-1","itemData":{"DOI":"10.1146/annurev-pathmechdis","abstract":"Since the discovery of sickle cell disease (SCD) in 1910, enormous strides have been made in the elucidation of the pathogenesis of its protean complications , which has inspired recent advances in targeted molecular therapies. In SCD, a single amino acid substitution in the β-globin chain leads to polymerization of mutant hemoglobin S, impairing erythrocyte rheol-ogy and survival. Clinically, erythrocyte abnormalities in SCD manifest in hemolytic anemia and cycles of microvascular vaso-occlusion leading to end-organ ischemia-reperfusion injury and infarction. Vaso-occlusive events and intravascular hemolysis promote inflammation and redox instability that lead to progressive small-and large-vessel vasculopathy. Based on current evidence , the pathobiology of SCD is considered to be a vicious cycle of four major processes, all the subject of active study and novel therapeutic targeting: (a) hemoglobin S polymerization, (b) impaired biorheology and increased adhesion-mediated vaso-occlusion, (c) hemolysis-mediated endothelial dys-function, and (d) concerted activation of sterile inflammation (Toll-like receptor 4-and inflammasome-dependent innate immune pathways). These 263","author":[{"dropping-particle":"","family":"Sundd","given":"Prithu","non-dropping-particle":"","parse-names":false,"suffix":""},{"dropping-particle":"","family":"Gladwin","given":"Mark T","non-dropping-particle":"","parse-names":false,"suffix":""},{"dropping-particle":"","family":"Novelli","given":"Enrico M","non-dropping-particle":"","parse-names":false,"suffix":""}],"container-title":"Annu. Rev. Pathol. Mech. Dis. 2019","id":"ITEM-1","issued":{"date-parts":[["2018"]]},"page":"263-292","title":"Pathophysiology of Sickle Cell Disease","type":"article-journal","volume":"14"},"uris":["http://www.mendeley.com/documents/?uuid=26daf095-00d9-361f-b6fa-8702831e130d"]},{"id":"ITEM-2","itemData":{"DOI":"10.1016/S0140-6736(17)30193-9","ISSN":"1474547X","PMID":"28159390","abstract":"Sickle cell disease is a common and life-threatening haematological disorder that affects millions of people worldwide. Abnormal sickle-shaped erythrocytes disrupt blood flow in small vessels, and this vaso-occlusion leads to distal tissue ischaemia and inflammation, with symptoms defining the acute painful sickle-cell crisis. Repeated sickling and ongoing haemolytic anaemia, even when subclinical, lead to parenchymal injury and chronic organ damage, causing substantial morbidity and early mortality. Currently available treatments are limited to transfusions and hydroxycarbamide, although stem cell transplantation might be a potentially curative therapy. Several new therapeutic options are in development, including gene therapy and gene editing. Recent advances include systematic universal screening for stroke risk, improved management of iron overload using oral chelators and non-invasive MRI measurements, and point-of-care diagnostic devices. Controversies include the role of haemolysis in sickle cell disease pathophysiology, optimal management of pregnancy, and strategies to prevent cerebrovascular disease.","author":[{"dropping-particle":"","family":"Ware","given":"Russell E.","non-dropping-particle":"","parse-names":false,"suffix":""},{"dropping-particle":"","family":"Montalembert","given":"Mariane","non-dropping-particle":"de","parse-names":false,"suffix":""},{"dropping-particle":"","family":"Tshilolo","given":"Léon","non-dropping-particle":"","parse-names":false,"suffix":""},{"dropping-particle":"","family":"Abboud","given":"Miguel R.","non-dropping-particle":"","parse-names":false,"suffix":""}],"container-title":"The Lancet","id":"ITEM-2","issue":"10091","issued":{"date-parts":[["2017"]]},"page":"311-323","publisher":"Elsevier Ltd","title":"Sickle cell disease","type":"article-journal","volume":"390"},"uris":["http://www.mendeley.com/documents/?uuid=009833e7-407d-4306-b413-2795e0ddde96"]},{"id":"ITEM-3","itemData":{"DOI":"10.1002/PBC.26713","ISSN":"1545-5017","PMID":"28675587","abstract":"Invasive pneumococcal disease (IPD) in children with sickle cell disease (SCD) can be devastating. We sought to assess the impact of IPD in children with SCD since licensure of the pneumococcal conjugate vaccines (PCVs). We found 11 cases of IPD giving an incidence of 417 per 100,000 person-years, much higher than that reported in children without SCD. Although all isolates were sensitive to penicillin, 89% of isolates were nonvaccine serotypes. Further study is needed to characterize the incidence of and risk factors for the development of IPD in SCD in the PCV era to help drive better prevention strategies.","author":[{"dropping-particle":"","family":"Martin","given":"Olufunke O.","non-dropping-particle":"","parse-names":false,"suffix":""},{"dropping-particle":"","family":"Moquist","given":"Kristin L.","non-dropping-particle":"","parse-names":false,"suffix":""},{"dropping-particle":"","family":"Hennessy","given":"Jane M.","non-dropping-particle":"","parse-names":false,"suffix":""},{"dropping-particle":"","family":"Nelson","given":"Stephen C.","non-dropping-particle":"","parse-names":false,"suffix":""}],"container-title":"Pediatric blood &amp; cancer","id":"ITEM-3","issue":"1","issued":{"date-parts":[["2018","1","1"]]},"publisher":"Pediatr Blood Cancer","title":"Invasive pneumococcal disease in children with sickle cell disease in the pneumococcal conjugate vaccine era","type":"article-journal","volume":"65"},"uris":["http://www.mendeley.com/documents/?uuid=8ed8e093-bfbb-3c39-b56f-8dde6782570f"]},{"id":"ITEM-4","itemData":{"DOI":"10.3389/FPED.2020.00038","ISSN":"2296-2360","PMID":"32154192","abstract":"Sickle cell disease (SCD) results in chronic hemolytic anemia, recurrent vascular occlusion, insidious vital organ deterioration, early mortality, and diminished quality of life. Life-threatening acute physiologic crises may occur on a background of progressive diminishing vital organ function. Sickle hemoglobin polymerizes in the deoxygenated state, resulting in erythrocyte membrane deformation, vascular occlusion, and hemolysis. Vascular occlusion and increased blood viscosity results in functional asplenia and immune deficiency in early childhood, resulting in life-long increased susceptibility to serious bacterial infections. Infection remains a main cause of overall mortality in patients with SCD in low- and middle-income countries due to increased exposure to pathogens, increased co-morbidities such as malnutrition, lower vaccination rates, and diminished access to definitive care, including antibiotics and blood. Thus, the greatest gains in preventing infection-associated mortality can be achieved by addressing these factors for SCD patients in austere environments. In contrast, in high-income countries, perinatal diagnosis of SCD, antimicrobial prophylaxis, vaccination, aggressive use of antibiotics for febrile episodes, and the availability of contemporary critical care resources have resulted in a significant reduction in deaths from infection; however, chronic organ injury is problematic. All clinicians, regardless of their discipline, who assume the care of SCD patients must understand the importance of infectious disease as a contributor to death and disability. In this concise narrative review, we summarize the data that describes the importance of infectious diseases as a contributor to death and disability in SCD and discuss pathophysiology, prevalent organisms, prevention, management of acute episodes of critical illness, and ongoing care.","author":[{"dropping-particle":"","family":"Ochocinski","given":"Dominik","non-dropping-particle":"","parse-names":false,"suffix":""},{"dropping-particle":"","family":"Dalal","given":"Mansi","non-dropping-particle":"","parse-names":false,"suffix":""},{"dropping-particle":"","family":"Black","given":"L. Vandy","non-dropping-particle":"","parse-names":false,"suffix":""},{"dropping-particle":"","family":"Carr","given":"Silvana","non-dropping-particle":"","parse-names":false,"suffix":""},{"dropping-particle":"","family":"Lew","given":"Judy","non-dropping-particle":"","parse-names":false,"suffix":""},{"dropping-particle":"","family":"Sullivan","given":"Kevin","non-dropping-particle":"","parse-names":false,"suffix":""},{"dropping-particle":"","family":"Kissoon","given":"Niranjan","non-dropping-particle":"","parse-names":false,"suffix":""}],"container-title":"Frontiers in pediatrics","id":"ITEM-4","issued":{"date-parts":[["2020","2","20"]]},"publisher":"Front Pediatr","title":"Life-Threatening Infectious Complications in Sickle Cell Disease: A Concise Narrative Review","type":"article-journal","volume":"8"},"uris":["http://www.mendeley.com/documents/?uuid=d422b1e4-ceb2-3ff9-8749-8aa4022b05ed"]},{"id":"ITEM-5","itemData":{"DOI":"10.1182/BLOODADVANCES.2019001142","ISSN":"2473-9537","PMID":"32298430","abstract":"Background: Central nervous system (CNS) complications are among the most common, devastating sequelae of sickle cell disease (SCD) occurring throughout the lifespan. Objective: These evidence-based guidelines of the American Society of Hematology are intended to support the SCD community in decisions about prevention, diagnosis, and treatment of the most common neurological morbidities in SCD. Methods: The Mayo Evidence-Based Practice Research Program supported the guideline development process, including updating or performing systematic evidence reviews. The panel used the Grading of Recommendations Assessment, Development and Evaluation (GRADE) approach, including GRADE evidence-to-decision frameworks, to assess evidence and make recommendations. Results: The panel placed a higher value on maintaining cognitive function than on being alive with significantly less than baseline cognitive function. The panel developed 19 recommendations with evidence-based strategies to prevent, diagnose, and treat CNS complications of SCD in low-middle-and high-income settings. Conclusions: Three of 19 recommendations immediately impact clinical care. These recommendations include: use of transcranial Doppler ultrasound screening and hydroxyurea for primary stroke prevention in children with hemoglobin SS (HbSS) and hemoglobin Sβ0 (HbSβ0) thalassemia living in low-middle-income settings; surveillance for developmental delay, cognitive impairments, and neurodevelopmental disorders in children; and use of magnetic resonance imaging of the brain without sedation to detect silent cerebral infarcts at least once in early-school-age children and once in adults with HbSS or HbSβ0 thalassemia. Individuals with SCD, their family members, and clinicians should become aware of and implement these recommendations to reduce the burden of CNS complications in children and adults with SCD.","author":[{"dropping-particle":"","family":"DeBaun","given":"M. R.","non-dropping-particle":"","parse-names":false,"suffix":""},{"dropping-particle":"","family":"Jordan","given":"L. C.","non-dropping-particle":"","parse-names":false,"suffix":""},{"dropping-particle":"","family":"King","given":"A. A.","non-dropping-particle":"","parse-names":false,"suffix":""},{"dropping-particle":"","family":"Schatz","given":"J.","non-dropping-particle":"","parse-names":false,"suffix":""},{"dropping-particle":"","family":"Vichinsky","given":"E.","non-dropping-particle":"","parse-names":false,"suffix":""},{"dropping-particle":"","family":"Fox","given":"C. K.","non-dropping-particle":"","parse-names":false,"suffix":""},{"dropping-particle":"","family":"McKinstry","given":"R. C.","non-dropping-particle":"","parse-names":false,"suffix":""},{"dropping-particle":"","family":"Telfer","given":"P.","non-dropping-particle":"","parse-names":false,"suffix":""},{"dropping-particle":"","family":"Kraut","given":"M. A.","non-dropping-particle":"","parse-names":false,"suffix":""},{"dropping-particle":"","family":"Daraz","given":"L.","non-dropping-particle":"","parse-names":false,"suffix":""},{"dropping-particle":"","family":"Kirkham","given":"F. J.","non-dropping-particle":"","parse-names":false,"suffix":""},{"dropping-particle":"","family":"Murad","given":"M. H.","non-dropping-particle":"","parse-names":false,"suffix":""}],"container-title":"Blood advances","id":"ITEM-5","issue":"8","issued":{"date-parts":[["2020","4","28"]]},"page":"1554-1588","publisher":"Blood Adv","title":"American Society of Hematology 2020 guidelines for sickle cell disease: prevention, diagnosis, and treatment of cerebrovascular disease in children and adults","type":"article-journal","volume":"4"},"uris":["http://www.mendeley.com/documents/?uuid=cf387b22-be80-3dd8-b4fb-246f7abe00f9"]}],"mendeley":{"formattedCitation":"&lt;sup&gt;2–6&lt;/sup&gt;","plainTextFormattedCitation":"2–6","previouslyFormattedCitation":"&lt;sup&gt;2–6&lt;/sup&gt;"},"properties":{"noteIndex":0},"schema":"https://github.com/citation-style-language/schema/raw/master/csl-citation.json"}</w:instrText>
      </w:r>
      <w:r w:rsidR="00DD37EA" w:rsidRPr="000F1D8D">
        <w:rPr>
          <w:rFonts w:ascii="Arial" w:eastAsia="Arial" w:hAnsi="Arial" w:cs="Arial"/>
          <w:sz w:val="22"/>
          <w:szCs w:val="22"/>
        </w:rPr>
        <w:fldChar w:fldCharType="separate"/>
      </w:r>
      <w:r w:rsidR="00DD37EA" w:rsidRPr="000F1D8D">
        <w:rPr>
          <w:rFonts w:ascii="Arial" w:eastAsia="Arial" w:hAnsi="Arial" w:cs="Arial"/>
          <w:noProof/>
          <w:sz w:val="22"/>
          <w:szCs w:val="22"/>
          <w:vertAlign w:val="superscript"/>
        </w:rPr>
        <w:t>2–6</w:t>
      </w:r>
      <w:r w:rsidR="00DD37EA" w:rsidRPr="000F1D8D">
        <w:rPr>
          <w:rFonts w:ascii="Arial" w:eastAsia="Arial" w:hAnsi="Arial" w:cs="Arial"/>
          <w:sz w:val="22"/>
          <w:szCs w:val="22"/>
        </w:rPr>
        <w:fldChar w:fldCharType="end"/>
      </w:r>
      <w:r w:rsidRPr="000F1D8D">
        <w:rPr>
          <w:rFonts w:ascii="Arial" w:eastAsia="Arial" w:hAnsi="Arial" w:cs="Arial"/>
          <w:sz w:val="22"/>
          <w:szCs w:val="22"/>
        </w:rPr>
        <w:t>. These events increase with age, leading to disability, decreased quality of life and life expectancy, and increased healthcare costs</w:t>
      </w:r>
      <w:r w:rsidR="006C03EC" w:rsidRPr="000F1D8D">
        <w:rPr>
          <w:rFonts w:ascii="Arial" w:eastAsia="Arial" w:hAnsi="Arial" w:cs="Arial"/>
          <w:sz w:val="22"/>
          <w:szCs w:val="22"/>
        </w:rPr>
        <w:fldChar w:fldCharType="begin" w:fldLock="1"/>
      </w:r>
      <w:r w:rsidR="006C03EC" w:rsidRPr="000F1D8D">
        <w:rPr>
          <w:rFonts w:ascii="Arial" w:eastAsia="Arial" w:hAnsi="Arial" w:cs="Arial"/>
          <w:sz w:val="22"/>
          <w:szCs w:val="22"/>
        </w:rPr>
        <w:instrText>ADDIN CSL_CITATION {"citationItems":[{"id":"ITEM-1","itemData":{"DOI":"10.1001/jama.2010.378","ISSN":"00987484","PMID":"20371788","abstract":"Context Published rates of health care utilization and rehospitalization by people with sickle cell disease have had limited generalizability and are not population based. Objective To provide benchmark data for rates of acute care utilization and rehospitalizations for patients with sickle cell disease. Design Retrospective cohort of sickle cell disease-related emergency department (ED) visits and hospitalizations from select states in the 2005 and 2006 Healthcare Cost and Utilization Project (HCUP) State Inpatient Databases and State Emergency Department Databases. Setting Eight geographically dispersed states (Arizona, California, Florida, Massachusetts, Missouri, New York, South Carolina, and Tennessee) that provide encrypted identifiers and have sufficient numbers of patients with sickle cell disease; together these states have 33% of the US population with sickle cell disease. Patients A total of 21 112 patients with sickle cell-related treat-and-release ED visits or inpatient hospitalizations. Main Outcome Measures Rates of acute care utilization and rehospitalizations. Population-based utilization rates were also calculated. Results The 21112 people with sickle cell disease had 109 344 encounters, a mean of 2.59 (95% confidence interval [CI], 2.53-2.65) encounters per patient per year, 1.52 (95% CI, 1.48-1.55) encounters for hospitalizations and 1.08 (95% CI, 1.04-1.11) for treat-and-release ED visits. Utilization was highest for 18-to 30-year-olds, 3.61 (95% CI, 3.47-3.75) encounters per patient per year, and those with public insurance, 3.22 (95% CI, 3.13-3.31) encounters per patient per year. Publicly insured 18-to 30-year-olds had 4.80 (95% CI, 4.58-5.02) encounters per patient per year. Approximately 29% of the population had no encounters while 16.9% had 3 or more encounters per year. The 30-day and 14-day rehospitalization rates were 33.4% (95% CI, 33.0%-33.8%) and 22.1% (95% CI, 21.8%-22.4%), respectively. The rehospitalization rate was highest for 18-to 30-year-olds, with 41.1% (95% CI, 40.5%- 41.7%) rehospitalized within 30 days and 28.4% (95% CI, 27.8%-29.0%) within 14 days. Rehospitalizations were also highest for publicly insured patients. Conclusion Among patients with sickle cell disease, acute care encounters and rehospitalizations were frequent, particularly for 18-to 30-year-olds. © 2010 American Medical Association. All rights reserved.","author":[{"dropping-particle":"","family":"Brousseau","given":"David C.","non-dropping-particle":"","parse-names":false,"suffix":""},{"dropping-particle":"","family":"Owens","given":"Pamela L.","non-dropping-particle":"","parse-names":false,"suffix":""},{"dropping-particle":"","family":"Mosso","given":"Andrew L.","non-dropping-particle":"","parse-names":false,"suffix":""},{"dropping-particle":"","family":"Panepinto","given":"Julie A.","non-dropping-particle":"","parse-names":false,"suffix":""},{"dropping-particle":"","family":"Steiner","given":"Claudia A.","non-dropping-particle":"","parse-names":false,"suffix":""}],"container-title":"JAMA - Journal of the American Medical Association","id":"ITEM-1","issue":"13","issued":{"date-parts":[["2010"]]},"page":"1288-1294","title":"Acute care utilization and rehospitalizations for sickle cell disease","type":"article-journal","volume":"303"},"uris":["http://www.mendeley.com/documents/?uuid=ad5d7d28-66b6-4f0b-ac97-79f5b54315aa"]},{"id":"ITEM-2","itemData":{"DOI":"10.1002/ajh.21408","ISSN":"03618609","abstract":"Although sickle cell disease (SCD) is marked by high utilization of medical resources, the full cost of care for patients with SCD, including care not directly related to SCD, is unknown. The purpose of this study was to estimate the total cost of medical care for a population of children and adults with SCD. We used data from individuals diagnosed with SCD enrolled in the Florida Medicaid program during 2001-2005 to estimate total, SCD-related, and non-SCD-related cost per patient-month based on patient age at the time of health care use. Across the 4,294 patient samples, total health care costs generally rose with age, from $892 to $2,562 per patient-month in the 0-9- and 50-64-year age groups, respectively. Average cost per patient-month was $1,389. Overall, 51.8% of care was directly related to SCD, the majority of which (80.5%) was associated with inpatient hospitalizations. Notably, non-SCD-related costs were substantially higher than those reported for the general US population. These results suggest a discounted (3% discount rate) lifetime cost of care averaging $460,151 per patient with SCD. Interventions designed to prevent SCD complications and avoid hospitalizations may reduce the significant economic burden of the disease. © 2009 Wiley-Liss, Inc.","author":[{"dropping-particle":"","family":"Kauf","given":"Teresa L.","non-dropping-particle":"","parse-names":false,"suffix":""},{"dropping-particle":"","family":"Coates","given":"Thomas D.","non-dropping-particle":"","parse-names":false,"suffix":""},{"dropping-particle":"","family":"Huazhi","given":"Liu","non-dropping-particle":"","parse-names":false,"suffix":""},{"dropping-particle":"","family":"Mody-Patel","given":"Nikita","non-dropping-particle":"","parse-names":false,"suffix":""},{"dropping-particle":"","family":"Hartzema","given":"Abraham G.","non-dropping-particle":"","parse-names":false,"suffix":""}],"container-title":"American Journal of Hematology","id":"ITEM-2","issue":"6","issued":{"date-parts":[["2009"]]},"page":"323-327","title":"The cost of health care for children and adults with sickle cell disease","type":"article-journal","volume":"84"},"uris":["http://www.mendeley.com/documents/?uuid=6e7f0888-e6e5-4551-81be-8a765bfb46de"]},{"id":"ITEM-3","itemData":{"DOI":"10.1002/pbc.22069","abstract":"INTRODUCTION Sickle cell disease (SCD) is a chronic condition associated with high levels of health care utilization. In 2004, SCD was listed as a discharge diagnosis for more than 113,000 admissions to US hospitals, incurring aggregate charges of more than $1 billion and estimated costs of $500 million [1]. Although advances in the care and treatment of SCD patients have improved their survival, especially during childhood [2-4], morbidity and premature mortality are still hallmarks of the disease [5]. Previous studies of health services utilization and expenditure by children with SCD were limited to individual states [6-8], had small samples [7,9,10], or were restricted to hospital stays [2,10,11]. In addition, few studies examined the effect of health insurance type on health service utilization and expenditures for SCD [6,9]. The purpose of our study was to provide multistate, multiple health plan estimates of health care utilization and expenditures for children aged 1-17 years with SCD. We defined health care as medical care provided in inpatient or outpatient settings, exclusive of dental care but inclusive of home care and medications. We defined health care expenditures as the amount paid by insurers and patients to health care providers for services received, rather than the charges submitted by the providers to insurers or patients. We calculated health care utilization and expenditures for children enrolled in public and private insurance plans. In addition, we provided prevalence estimates of SCD for children enrolled in these health plans by insurer type. METHODS Administrative Databases We used the MarketScan 1 Research Databases from Thomson Reuters (Ann Arbor, Michigan), which contain individual-level, deidentified, healthcare claims information from employers, health plans, hospitals, and Medicaid programs. We used two databases: the MarketScan 1 Medicaid Database and the MarketScan 1 Commercial Claims and Encounters Database, for the period 2001-2005. In 2005, the Medicaid database included claims for approximately 3 million pediatric enrollees in four unidentified states, and the Commercial database included claims for 17.5 million enrollees from 100 payers across the US. We refer to children in the Commercial database as privately insured. Inclusion/Exclusion Criteria SCD was identified using International Classification of Disease, 9th Division, Clinical Modifications (ICD-9-CM) code 282.6, which encompasses sickle cell hemoglobin…","author":[{"dropping-particle":"","family":"Mvundura","given":"Mercy","non-dropping-particle":"","parse-names":false,"suffix":""},{"dropping-particle":"","family":"Amendah","given":"Djesika","non-dropping-particle":"","parse-names":false,"suffix":""},{"dropping-particle":"","family":"Kavanagh","given":"Patricia L","non-dropping-particle":"","parse-names":false,"suffix":""},{"dropping-particle":"","family":"Sprinz","given":"Philippa G","non-dropping-particle":"","parse-names":false,"suffix":""},{"dropping-particle":"","family":"Grosse","given":"Scott D","non-dropping-particle":"","parse-names":false,"suffix":""}],"container-title":"Pediatr Blood Cancer","id":"ITEM-3","issued":{"date-parts":[["2009"]]},"page":"642-646","title":"Health Care Utilization and Expenditures for Privately and Publicly Insured Children With Sickle Cell Disease in the United States","type":"article-journal","volume":"53"},"uris":["http://www.mendeley.com/documents/?uuid=a889795a-b0d4-3498-882d-329d5be9482a"]},{"id":"ITEM-4","itemData":{"DOI":"10.1002/ajh.21443","ISSN":"03618609","author":[{"dropping-particle":"","family":"Ballas","given":"Samir K.","non-dropping-particle":"","parse-names":false,"suffix":""}],"container-title":"American Journal of Hematology","id":"ITEM-4","issue":"6","issued":{"date-parts":[["2009"]]},"page":"320-322","title":"The cost of health care for patients with sickle cell disease","type":"article-journal","volume":"84"},"uris":["http://www.mendeley.com/documents/?uuid=e1ddc1bb-bd73-4cd4-969a-1f691bc39531"]},{"id":"ITEM-5","itemData":{"DOI":"10.1001/jamanetworkopen.2019.15374","ISSN":"25743805","PMID":"31730182","abstract":"Importance: Individuals with sickle cell disease (SCD) have reduced life expectancy; however, there are limited data available on lifetime income in patients with SCD. Objective: To estimate life expectancy, quality-adjusted life expectancy, and income differences between a US cohort of patients with SCD and an age-, sex-, and race/ethnicity-matched cohort without SCD. Design, Setting, and Participants: Cohort simulation modeling was used to (1) build a prevalent SCD cohort and a matched non-SCD cohort, (2) identify utility weights for quality-adjusted life expectancy, (3) calculate average expected annual personal income, and (4) model life expectancy, quality-adjusted life expectancy, and lifetime incomes for SCD and matched non-SCD cohorts. Data sources included the Centers for Disease Control and Prevention, National Newborn Screening Information System, and published literature. The target population was individuals with SCD, the time horizon was lifetime, and the perspective was societal. Model data were collected from November 29, 2017, to March 21, 2018, and the analysis was performed from April 28 to December 3, 2018. Main Outcomes and Measures: Life expectancy, quality-adjusted life expectancy, and projected lifetime income. Results: The estimated prevalent population for the SCD cohort was 87 328 (95% uncertainty interval, 79 344-101 398); 998 were male and 952 were female. Projected life expectancy for the SCD cohort was 54 years vs 76 years for the matched non-SCD cohort; quality-adjusted life expectancy was 33 years vs 67 years, respectively. Projected lifetime income was $1 227 000 for an individual with SCD and $1 922 000 for a matched individual without SCD, reflecting a lost income of $695 000 owing to the 22-year difference in life expectancy. One study limitation is that the higher estimates of life expectancy yielded conservative estimates of lost life-years and income. The analysis only considered the value of lost personal income owing to premature mortality and did not consider direct medical costs or other societal costs associated with excess morbidity (eg, lost workdays for disability, time spent in the hospital). The model was most sensitive to changes in income levels and mortality rates. Conclusions and Relevance: In this simulated cohort modeling study, SCD had societal consequences beyond medical costs in terms of reduced life expectancy, quality-adjusted life expectancy, and lifetime earnings. These results underscore th…","author":[{"dropping-particle":"","family":"Lubeck","given":"Deborah","non-dropping-particle":"","parse-names":false,"suffix":""},{"dropping-particle":"","family":"Agodoa","given":"Irene","non-dropping-particle":"","parse-names":false,"suffix":""},{"dropping-particle":"","family":"Bhakta","given":"Nickhill","non-dropping-particle":"","parse-names":false,"suffix":""},{"dropping-particle":"","family":"Danese","given":"Mark","non-dropping-particle":"","parse-names":false,"suffix":""},{"dropping-particle":"","family":"Pappu","given":"Kartik","non-dropping-particle":"","parse-names":false,"suffix":""},{"dropping-particle":"","family":"Howard","given":"Robin","non-dropping-particle":"","parse-names":false,"suffix":""},{"dropping-particle":"","family":"Gleeson","given":"Michelle","non-dropping-particle":"","parse-names":false,"suffix":""},{"dropping-particle":"","family":"Halperin","given":"Marc","non-dropping-particle":"","parse-names":false,"suffix":""},{"dropping-particle":"","family":"Lanzkron","given":"Sophie","non-dropping-particle":"","parse-names":false,"suffix":""}],"container-title":"JAMA network open","id":"ITEM-5","issue":"11","issued":{"date-parts":[["2019"]]},"page":"e1915374","title":"Estimated Life Expectancy and Income of Patients With Sickle Cell Disease Compared With Those Without Sickle Cell Disease","type":"article-journal","volume":"2"},"uris":["http://www.mendeley.com/documents/?uuid=43136091-4aa3-4eec-a49c-c905886e6295"]}],"mendeley":{"formattedCitation":"&lt;sup&gt;7–11&lt;/sup&gt;","plainTextFormattedCitation":"7–11","previouslyFormattedCitation":"&lt;sup&gt;7–11&lt;/sup&gt;"},"properties":{"noteIndex":0},"schema":"https://github.com/citation-style-language/schema/raw/master/csl-citation.json"}</w:instrText>
      </w:r>
      <w:r w:rsidR="006C03EC" w:rsidRPr="000F1D8D">
        <w:rPr>
          <w:rFonts w:ascii="Arial" w:eastAsia="Arial" w:hAnsi="Arial" w:cs="Arial"/>
          <w:sz w:val="22"/>
          <w:szCs w:val="22"/>
        </w:rPr>
        <w:fldChar w:fldCharType="separate"/>
      </w:r>
      <w:r w:rsidR="006C03EC" w:rsidRPr="000F1D8D">
        <w:rPr>
          <w:rFonts w:ascii="Arial" w:eastAsia="Arial" w:hAnsi="Arial" w:cs="Arial"/>
          <w:noProof/>
          <w:sz w:val="22"/>
          <w:szCs w:val="22"/>
          <w:vertAlign w:val="superscript"/>
        </w:rPr>
        <w:t>7–11</w:t>
      </w:r>
      <w:r w:rsidR="006C03EC" w:rsidRPr="000F1D8D">
        <w:rPr>
          <w:rFonts w:ascii="Arial" w:eastAsia="Arial" w:hAnsi="Arial" w:cs="Arial"/>
          <w:sz w:val="22"/>
          <w:szCs w:val="22"/>
        </w:rPr>
        <w:fldChar w:fldCharType="end"/>
      </w:r>
      <w:r w:rsidRPr="000F1D8D">
        <w:rPr>
          <w:rFonts w:ascii="Arial" w:eastAsia="Arial" w:hAnsi="Arial" w:cs="Arial"/>
          <w:sz w:val="22"/>
          <w:szCs w:val="22"/>
        </w:rPr>
        <w:t xml:space="preserve">. Therefore, treatment of SCD with hydroxyurea (HU), </w:t>
      </w:r>
      <w:r w:rsidRPr="000F1D8D">
        <w:rPr>
          <w:rFonts w:ascii="Arial" w:hAnsi="Arial" w:cs="Arial"/>
          <w:sz w:val="22"/>
          <w:szCs w:val="22"/>
        </w:rPr>
        <w:t xml:space="preserve">beginning at </w:t>
      </w:r>
      <w:r w:rsidR="00B37FB0" w:rsidRPr="000F1D8D">
        <w:rPr>
          <w:rFonts w:ascii="Arial" w:hAnsi="Arial" w:cs="Arial"/>
          <w:sz w:val="22"/>
          <w:szCs w:val="22"/>
        </w:rPr>
        <w:t>nine</w:t>
      </w:r>
      <w:r w:rsidRPr="000F1D8D">
        <w:rPr>
          <w:rFonts w:ascii="Arial" w:hAnsi="Arial" w:cs="Arial"/>
          <w:sz w:val="22"/>
          <w:szCs w:val="22"/>
        </w:rPr>
        <w:t xml:space="preserve"> months,</w:t>
      </w:r>
      <w:r w:rsidRPr="000F1D8D" w:rsidDel="00E239BE">
        <w:rPr>
          <w:rFonts w:ascii="Arial" w:hAnsi="Arial" w:cs="Arial"/>
          <w:sz w:val="22"/>
          <w:szCs w:val="22"/>
        </w:rPr>
        <w:t xml:space="preserve"> </w:t>
      </w:r>
      <w:r w:rsidRPr="000F1D8D">
        <w:rPr>
          <w:rFonts w:ascii="Arial" w:hAnsi="Arial" w:cs="Arial"/>
          <w:sz w:val="22"/>
          <w:szCs w:val="22"/>
        </w:rPr>
        <w:t xml:space="preserve">is an essential component of improving outcomes for pediatric and adult patients with SCD because it can </w:t>
      </w:r>
      <w:r w:rsidRPr="000F1D8D">
        <w:rPr>
          <w:rFonts w:ascii="Arial" w:eastAsia="Arial" w:hAnsi="Arial" w:cs="Arial"/>
          <w:sz w:val="22"/>
          <w:szCs w:val="22"/>
        </w:rPr>
        <w:t>decrease the frequency of VOEs, ACS episodes, hospitalizations, and transfusions, with few side effects</w:t>
      </w:r>
      <w:r w:rsidR="00BD0744" w:rsidRPr="000F1D8D">
        <w:rPr>
          <w:rFonts w:ascii="Arial" w:eastAsia="Arial" w:hAnsi="Arial" w:cs="Arial"/>
          <w:sz w:val="22"/>
          <w:szCs w:val="22"/>
        </w:rPr>
        <w:fldChar w:fldCharType="begin" w:fldLock="1"/>
      </w:r>
      <w:r w:rsidR="00BD0744" w:rsidRPr="000F1D8D">
        <w:rPr>
          <w:rFonts w:ascii="Arial" w:eastAsia="Arial" w:hAnsi="Arial" w:cs="Arial"/>
          <w:sz w:val="22"/>
          <w:szCs w:val="22"/>
        </w:rPr>
        <w:instrText>ADDIN CSL_CITATION {"citationItems":[{"id":"ITEM-1","itemData":{"DOI":"10.1038/S41573-018-0003-2","ISSN":"1474-1784","PMID":"30514970","abstract":"For over 100 years, clinicians and scientists have been unravelling the consequences of the A to T substitution in the β-globin gene that produces haemoglobin S, which leads to the systemic manifestations of sickle cell disease (SCD), including vaso-occlusion, anaemia, haemolysis, organ injury and pain. However, despite growing understanding of the mechanisms of haemoglobin S polymerization and its effects on red blood cells, only two therapies for SCD — hydroxyurea and l-glutamine — are approved by the US Food and Drug Administration. Moreover, these treatment options do not fully address the manifestations of SCD, which arise from a complex network of interdependent pathophysiological processes. In this article, we review efforts to develop new drugs targeting these processes, including agents that reactivate fetal haemoglobin, anti-sickling agents, anti-adhesion agents, modulators of ischaemia–reperfusion and oxidative stress, agents that counteract free haemoglobin and haem, anti-inflammatory agents, anti-thrombotic agents and anti-platelet agents. We also discuss gene therapy, which holds promise of a cure, although its widespread application is currently limited by technical challenges and the expense of treatment. We thus propose that developing systems-oriented multi-agent strategies on the basis of SCD pathophysiology is needed to improve the quality of life and survival of people with SCD.","author":[{"dropping-particle":"","family":"Telen","given":"Marilyn J.","non-dropping-particle":"","parse-names":false,"suffix":""},{"dropping-particle":"","family":"Malik","given":"Punam","non-dropping-particle":"","parse-names":false,"suffix":""},{"dropping-particle":"","family":"Vercellotti","given":"Gregory M.","non-dropping-particle":"","parse-names":false,"suffix":""}],"container-title":"Nature reviews. Drug discovery","id":"ITEM-1","issue":"2","issued":{"date-parts":[["2019","2","1"]]},"page":"139-158","publisher":"Nat Rev Drug Discov","title":"Therapeutic strategies for sickle cell disease: towards a multi-agent approach","type":"article-journal","volume":"18"},"uris":["http://www.mendeley.com/documents/?uuid=1fa3d344-abcd-34a0-8357-a07a62276434"]},{"id":"ITEM-2","itemData":{"DOI":"10.1038/PR.2016.204","ISSN":"1530-0447","PMID":"27706129","abstract":"Once a fatal disease of childhood, more than 95% of patients born today with sickle cell disease (SCD) in developed countries are expected to survive into adulthood, largely because of improvements in supportive and preventive care (newborn screening, penicillin prophylaxis, transcranial Doppler (TCD) screening). Hydroxyurea (HU) therapy, the only oral medication currently available to prevent SCD complications, has become more widespread over the past 20 y. The NHLBI recommends that HU be offered to all patients with HbSS beginning at 9 mo of age, and the recently published Abnormal TCD with Transfusions Changing to HU (TWiTCH) trial has shown HU as an acceptable alternative to transfusion therapy for patients at high risk of stroke. While hematopoietic stem cell transplant (HSCT) is a curative option for SCD, less than 25% of patients have a suitable donor. Alternative stem cell sources from unrelated donors and haplo-identical donors are currently under investigation as are gene therapy trials. This review will focus on early efforts to elucidate SCD pathophysiology as well as supportive and preventive care improvements. Findings from recent multi-center studies (Silent Infarct Transfusion (SIT) Trial and TWiTCH) will be summarized. Finally, HSCT trials and gene therapy will be reviewed.","author":[{"dropping-particle":"","family":"Meier","given":"Emily Riehm","non-dropping-particle":"","parse-names":false,"suffix":""},{"dropping-particle":"","family":"Rampersad","given":"Angeli","non-dropping-particle":"","parse-names":false,"suffix":""}],"container-title":"Pediatric research","id":"ITEM-2","issue":"1-2","issued":{"date-parts":[["2017","1","1"]]},"page":"249-258","publisher":"Pediatr Res","title":"Pediatric sickle cell disease: past successes and future challenges","type":"article-journal","volume":"81"},"uris":["http://www.mendeley.com/documents/?uuid=15fa3ee0-a49b-3e28-a0b3-f7b4f1f5178c"]},{"id":"ITEM-3","itemData":{"DOI":"10.1016/S0140-6736(11)60355-3","ISSN":"01406736","PMID":"21571150","abstract":"Background: Sickle-cell anaemia is associated with substantial morbidity from acute complications and organ dysfunction beginning in the first year of life. Hydroxycarbamide substantially reduces episodes of pain and acute chest syndrome, admissions to hospital, and transfusions in adults with sickle-cell anaemia. We assessed the effect of hydroxycarbamide therapy on organ dysfunction and clinical complications, and examined laboratory findings and toxic effects. Methods: This randomised trial was undertaken in 13 centres in the USA between October, 2003, and September, 2009. Eligible participants had haemoglobin SS (HbSS) or haemoglobin Sβ0thalassaemia, were aged 9-18 months at randomisation, and were not selected for clinical severity. Participants received liquid hydroxycarbamide, 20 mg/kg per day, or placebo for 2 years. Randomisation assignments were generated by the medical coordinating centre by a pre-decided schedule. Identical appearing and tasting formulations were used for hydroxycarbamide and placebo. Patients, caregivers, and coordinating centre staff were masked to treatment allocation. Primary study endpoints were splenic function (qualitative uptake on 99Tc spleen scan) and renal function (glomerular filtration rate by 99mTc-DTPA clearance). Additional assessments included blood counts, fetal haemoglobin concentration, chemistry profiles, spleen function biomarkers, urine osmolality, neurodevelopment, transcranial Doppler ultrasonography, growth, and mutagenicity. Study visits occurred every 2-4 weeks. Analysis was by intention to treat. The trial is registered with ClinicalTrials.gov, number NCT00006400. Findings: 96 patients received hydroxycarbamide and 97 placebo, of whom 83 patients in the hydroxycarbamide group and 84 in the placebo group completed the study. Significant differences were not seen between groups for the primary endpoints (19 of 70 patients with decreased spleen function at exit in the hydroxycarbamide group vs 28 of 74 patients in the placebo group, p=0·21; and a difference in the mean increase in DTPA glomerular filtration rate in the hydroxycarbamide group versus the placebo group of 2 mL/min per 1·73 m2, p=0·84). Hydroxycarbamide significantly decreased pain (177 events in 62 patients vs 375 events in 75 patients in the placebo group, p=0·002) and dactylitis (24 events in 14 patients vs 123 events in 42 patients in the placebo group, p&lt;0·0001), with some evidence for decreased acute chest syndrome, hospitalisatio…","author":[{"dropping-particle":"","family":"Armstrong","given":"F. Daniel","non-dropping-particle":"","parse-names":false,"suffix":""},{"dropping-particle":"","family":"Emory","given":") ;","non-dropping-particle":"","parse-names":false,"suffix":""},{"dropping-particle":"","family":"Wang","given":"Winfred C.","non-dropping-particle":"","parse-names":false,"suffix":""},{"dropping-particle":"","family":"Ware","given":"Russell E.","non-dropping-particle":"","parse-names":false,"suffix":""},{"dropping-particle":"","family":"Miller","given":"Scott T.","non-dropping-particle":"","parse-names":false,"suffix":""},{"dropping-particle":"V.","family":"Iyer","given":"Rathi","non-dropping-particle":"","parse-names":false,"suffix":""},{"dropping-particle":"","family":"Casella","given":"James F.","non-dropping-particle":"","parse-names":false,"suffix":""},{"dropping-particle":"","family":"Minniti","given":"Caterina P.","non-dropping-particle":"","parse-names":false,"suffix":""},{"dropping-particle":"","family":"Rana","given":"Sohail","non-dropping-particle":"","parse-names":false,"suffix":""},{"dropping-particle":"","family":"Thornburg","given":"Courtney D.","non-dropping-particle":"","parse-names":false,"suffix":""},{"dropping-particle":"","family":"Rogers","given":"Zora R.","non-dropping-particle":"","parse-names":false,"suffix":""},{"dropping-particle":"V.","family":"Kalpatthi","given":"Ram","non-dropping-particle":"","parse-names":false,"suffix":""},{"dropping-particle":"","family":"Barredo","given":"Julio C.","non-dropping-particle":"","parse-names":false,"suffix":""},{"dropping-particle":"","family":"Brown","given":"Clark","non-dropping-particle":"","parse-names":false,"suffix":""},{"dropping-particle":"","family":"Sarnaik","given":"Sharada A.","non-dropping-particle":"","parse-names":false,"suffix":""},{"dropping-particle":"","family":"Howard","given":"Thomas H.","non-dropping-particle":"","parse-names":false,"suffix":""},{"dropping-particle":"","family":"Wynn","given":"Lynn W.","non-dropping-particle":"","parse-names":false,"suffix":""},{"dropping-particle":"","family":"Kutlar","given":"Abdullah","non-dropping-particle":"","parse-names":false,"suffix":""},{"dropping-particle":"","family":"Armstrong","given":"Daniel","non-dropping-particle":"","parse-names":false,"suffix":""},{"dropping-particle":"","family":"Files","given":"Beatrice A.","non-dropping-particle":"","parse-names":false,"suffix":""},{"dropping-particle":"","family":"Goldsmith","given":"Jonathan C.","non-dropping-particle":"","parse-names":false,"suffix":""},{"dropping-particle":"","family":"Waclawiw","given":"Myron A.","non-dropping-particle":"","parse-names":false,"suffix":""},{"dropping-particle":"","family":"Huang","given":"Xiangke","non-dropping-particle":"","parse-names":false,"suffix":""},{"dropping-particle":"","family":"Thompson","given":"Bruce W.","non-dropping-particle":"","parse-names":false,"suffix":""},{"dropping-particle":"","family":"Brown","given":"R. Clark","non-dropping-particle":"","parse-names":false,"suffix":""},{"dropping-particle":"","family":"Sarnaik","given":"Sharada A.","non-dropping-particle":"","parse-names":false,"suffix":""},{"dropping-particle":"","family":"Howard","given":"Thomas H.","non-dropping-particle":"","parse-names":false,"suffix":""},{"dropping-particle":"","family":"Wynn","given":"Lynn W.","non-dropping-particle":"","parse-names":false,"suffix":""},{"dropping-particle":"","family":"Kutlar","given":"Abdullah","non-dropping-particle":"","parse-names":false,"suffix":""},{"dropping-particle":"","family":"Armstrong","given":"F. Daniel","non-dropping-particle":"","parse-names":false,"suffix":""},{"dropping-particle":"","family":"Files","given":"Beatrice A.","non-dropping-particle":"","parse-names":false,"suffix":""},{"dropping-particle":"","family":"Goldsmith","given":"Jonathan C.","non-dropping-particle":"","parse-names":false,"suffix":""},{"dropping-particle":"","family":"Waclawiw","given":"Myron A.","non-dropping-particle":"","parse-names":false,"suffix":""},{"dropping-particle":"","family":"Huang","given":"Xiangke","non-dropping-particle":"","parse-names":false,"suffix":""},{"dropping-particle":"","family":"Thompson","given":"Bruce W.","non-dropping-particle":"","parse-names":false,"suffix":""}],"container-title":"The Lancet","id":"ITEM-3","issue":"9778","issued":{"date-parts":[["2011"]]},"page":"1663-1672","publisher":"Elsevier Ltd","title":"Hydroxycarbamide in very young children with sickle-cell anaemia: A multicentre, randomised, controlled trial (BABY HUG)","type":"article-journal","volume":"377"},"uris":["http://www.mendeley.com/documents/?uuid=3fa6d7ea-31d2-487b-8a01-05f3d6af848d"]}],"mendeley":{"formattedCitation":"&lt;sup&gt;12–14&lt;/sup&gt;","plainTextFormattedCitation":"12–14","previouslyFormattedCitation":"&lt;sup&gt;12–14&lt;/sup&gt;"},"properties":{"noteIndex":0},"schema":"https://github.com/citation-style-language/schema/raw/master/csl-citation.json"}</w:instrText>
      </w:r>
      <w:r w:rsidR="00BD0744" w:rsidRPr="000F1D8D">
        <w:rPr>
          <w:rFonts w:ascii="Arial" w:eastAsia="Arial" w:hAnsi="Arial" w:cs="Arial"/>
          <w:sz w:val="22"/>
          <w:szCs w:val="22"/>
        </w:rPr>
        <w:fldChar w:fldCharType="separate"/>
      </w:r>
      <w:r w:rsidR="00BD0744" w:rsidRPr="000F1D8D">
        <w:rPr>
          <w:rFonts w:ascii="Arial" w:eastAsia="Arial" w:hAnsi="Arial" w:cs="Arial"/>
          <w:noProof/>
          <w:sz w:val="22"/>
          <w:szCs w:val="22"/>
          <w:vertAlign w:val="superscript"/>
        </w:rPr>
        <w:t>12–14</w:t>
      </w:r>
      <w:r w:rsidR="00BD0744" w:rsidRPr="000F1D8D">
        <w:rPr>
          <w:rFonts w:ascii="Arial" w:eastAsia="Arial" w:hAnsi="Arial" w:cs="Arial"/>
          <w:sz w:val="22"/>
          <w:szCs w:val="22"/>
        </w:rPr>
        <w:fldChar w:fldCharType="end"/>
      </w:r>
      <w:r w:rsidRPr="000F1D8D">
        <w:rPr>
          <w:rFonts w:ascii="Arial" w:eastAsia="Arial" w:hAnsi="Arial" w:cs="Arial"/>
          <w:sz w:val="22"/>
          <w:szCs w:val="22"/>
        </w:rPr>
        <w:t>.</w:t>
      </w:r>
    </w:p>
    <w:p w14:paraId="679E619C" w14:textId="0D549489" w:rsidR="00A87D76" w:rsidRPr="000F1D8D" w:rsidRDefault="00A87D76" w:rsidP="00EE5008">
      <w:pPr>
        <w:spacing w:line="480" w:lineRule="auto"/>
        <w:ind w:firstLine="720"/>
        <w:jc w:val="both"/>
        <w:rPr>
          <w:rFonts w:ascii="Arial" w:eastAsia="Arial" w:hAnsi="Arial" w:cs="Arial"/>
          <w:sz w:val="22"/>
          <w:szCs w:val="22"/>
        </w:rPr>
      </w:pPr>
      <w:r w:rsidRPr="000F1D8D">
        <w:rPr>
          <w:rFonts w:ascii="Arial" w:eastAsia="Arial" w:hAnsi="Arial" w:cs="Arial"/>
          <w:sz w:val="22"/>
          <w:szCs w:val="22"/>
        </w:rPr>
        <w:t>HU utilization and adherence rates remain significant barriers to treating pediatric SCD despite its efficacy. In 20</w:t>
      </w:r>
      <w:r w:rsidR="006A7853" w:rsidRPr="000F1D8D">
        <w:rPr>
          <w:rFonts w:ascii="Arial" w:eastAsia="Arial" w:hAnsi="Arial" w:cs="Arial"/>
          <w:sz w:val="22"/>
          <w:szCs w:val="22"/>
        </w:rPr>
        <w:t>1</w:t>
      </w:r>
      <w:r w:rsidRPr="000F1D8D">
        <w:rPr>
          <w:rFonts w:ascii="Arial" w:eastAsia="Arial" w:hAnsi="Arial" w:cs="Arial"/>
          <w:sz w:val="22"/>
          <w:szCs w:val="22"/>
        </w:rPr>
        <w:t>5, there was an estimated HU use of 28% in the pediatric population</w:t>
      </w:r>
      <w:r w:rsidR="00BD0744" w:rsidRPr="000F1D8D">
        <w:rPr>
          <w:rFonts w:ascii="Arial" w:eastAsia="Arial" w:hAnsi="Arial" w:cs="Arial"/>
          <w:sz w:val="22"/>
          <w:szCs w:val="22"/>
        </w:rPr>
        <w:fldChar w:fldCharType="begin" w:fldLock="1"/>
      </w:r>
      <w:r w:rsidR="00BD0744" w:rsidRPr="000F1D8D">
        <w:rPr>
          <w:rFonts w:ascii="Arial" w:eastAsia="Arial" w:hAnsi="Arial" w:cs="Arial"/>
          <w:sz w:val="22"/>
          <w:szCs w:val="22"/>
        </w:rPr>
        <w:instrText xml:space="preserve">ADDIN CSL_CITATION {"citationItems":[{"id":"ITEM-1","itemData":{"DOI":"10.1542/peds.2018-3285","ISSN":"10984275","PMID":"31227564","abstract":"BACKGROUND: Recent publications should have resulted in increased hydroxyurea usage in children with sickle cell disease (SCD). We hypothesized that hydroxyurea use in children with SCD increased over time and was associated with decreased acute care visits. METHODS: This was a secondary analysis of the Truven Health Analytics-IBM Watson Health MarketScan Medicaid database from 2009 to 2015. The multistate, population-based cohort included children 1 to 19 years old with an International Classification of Diseases, Ninth or 10th Revision diagnosis of SCD between 2009 and 2015. Changes in hydroxyurea were measured across study years. The primary outcome was the receipt of hydroxyurea, identified through filled prescription claims. Acute care visits (emergency department visits and hospitalizations) were extracted from billing data. RESULTS: A mean of 5138 children each year were included. Hydroxyurea use increased from 14.3% in 2009 to 28.2% in 2015 (P &lt; .001). During the study period, the acute-care-visit rate decreased from 1.20 acute care visits per person-year in 2009 to 1.04 acute care visits per person-year in 2015 (P &lt; .001); however, the drop in acute care visits was exclusively in the youngest and oldest age groups and was not seen when only children enrolled continuously from 2009 to 2015 were analyzed. CONCLUSIONS: There was a significant increase in hydroxyurea use in children with SCD between 2009 and 2015. However, in 2015, only </w:instrText>
      </w:r>
      <w:r w:rsidR="00BD0744" w:rsidRPr="000F1D8D">
        <w:rPr>
          <w:rFonts w:ascii="Cambria Math" w:eastAsia="Arial" w:hAnsi="Cambria Math" w:cs="Cambria Math"/>
          <w:sz w:val="22"/>
          <w:szCs w:val="22"/>
        </w:rPr>
        <w:instrText>∼</w:instrText>
      </w:r>
      <w:r w:rsidR="00BD0744" w:rsidRPr="000F1D8D">
        <w:rPr>
          <w:rFonts w:ascii="Arial" w:eastAsia="Arial" w:hAnsi="Arial" w:cs="Arial"/>
          <w:sz w:val="22"/>
          <w:szCs w:val="22"/>
        </w:rPr>
        <w:instrText>1 in 4 children with SCD received hydroxyurea at least once. Increases in hydroxyurea were not associated with consistently decreased acute care visits in this population-based study of children insured by Medicaid.","author":[{"dropping-particle":"","family":"Brousseau","given":"David C.","non-dropping-particle":"","parse-names":false,"suffix":""},{"dropping-particle":"","family":"Richardson","given":"Troy","non-dropping-particle":"","parse-names":false,"suffix":""},{"dropping-particle":"","family":"Hall","given":"Matt","non-dropping-particle":"","parse-names":false,"suffix":""},{"dropping-particle":"","family":"Ellison","given":"Angela M.","non-dropping-particle":"","parse-names":false,"suffix":""},{"dropping-particle":"","family":"Shah","given":"Samir S.","non-dropping-particle":"","parse-names":false,"suffix":""},{"dropping-particle":"","family":"Raphael","given":"Jean L.","non-dropping-particle":"","parse-names":false,"suffix":""},{"dropping-particle":"","family":"Bundy","given":"David G.","non-dropping-particle":"","parse-names":false,"suffix":""},{"dropping-particle":"","family":"Arnold","given":"Staci","non-dropping-particle":"","parse-names":false,"suffix":""}],"container-title":"Pediatrics","id":"ITEM-1","issue":"1","issued":{"date-parts":[["2019"]]},"title":"Hydroxyurea use for sickle cell disease among medicaid-enrolled children","type":"article-journal","volume":"144"},"uris":["http://www.mendeley.com/documents/?uuid=da58fc62-67ea-4074-bf2e-cee732da8831"]}],"mendeley":{"formattedCitation":"&lt;sup&gt;15&lt;/sup&gt;","plainTextFormattedCitation":"15","previouslyFormattedCitation":"&lt;sup&gt;15&lt;/sup&gt;"},"properties":{"noteIndex":0},"schema":"https://github.com/citation-style-language/schema/raw/master/csl-citation.json"}</w:instrText>
      </w:r>
      <w:r w:rsidR="00BD0744" w:rsidRPr="000F1D8D">
        <w:rPr>
          <w:rFonts w:ascii="Arial" w:eastAsia="Arial" w:hAnsi="Arial" w:cs="Arial"/>
          <w:sz w:val="22"/>
          <w:szCs w:val="22"/>
        </w:rPr>
        <w:fldChar w:fldCharType="separate"/>
      </w:r>
      <w:r w:rsidR="00BD0744" w:rsidRPr="000F1D8D">
        <w:rPr>
          <w:rFonts w:ascii="Arial" w:eastAsia="Arial" w:hAnsi="Arial" w:cs="Arial"/>
          <w:noProof/>
          <w:sz w:val="22"/>
          <w:szCs w:val="22"/>
          <w:vertAlign w:val="superscript"/>
        </w:rPr>
        <w:t>15</w:t>
      </w:r>
      <w:r w:rsidR="00BD0744" w:rsidRPr="000F1D8D">
        <w:rPr>
          <w:rFonts w:ascii="Arial" w:eastAsia="Arial" w:hAnsi="Arial" w:cs="Arial"/>
          <w:sz w:val="22"/>
          <w:szCs w:val="22"/>
        </w:rPr>
        <w:fldChar w:fldCharType="end"/>
      </w:r>
      <w:r w:rsidRPr="000F1D8D">
        <w:rPr>
          <w:rFonts w:ascii="Arial" w:eastAsia="Arial" w:hAnsi="Arial" w:cs="Arial"/>
          <w:sz w:val="22"/>
          <w:szCs w:val="22"/>
        </w:rPr>
        <w:t>. Although use has increased since then, adherence rates, measured through the proportion of days covered (PDC)</w:t>
      </w:r>
      <w:r w:rsidR="00BD0744" w:rsidRPr="000F1D8D">
        <w:rPr>
          <w:rFonts w:ascii="Arial" w:eastAsia="Arial" w:hAnsi="Arial" w:cs="Arial"/>
          <w:sz w:val="22"/>
          <w:szCs w:val="22"/>
        </w:rPr>
        <w:fldChar w:fldCharType="begin" w:fldLock="1"/>
      </w:r>
      <w:r w:rsidR="00BD0744" w:rsidRPr="000F1D8D">
        <w:rPr>
          <w:rFonts w:ascii="Arial" w:eastAsia="Arial" w:hAnsi="Arial" w:cs="Arial"/>
          <w:sz w:val="22"/>
          <w:szCs w:val="22"/>
        </w:rPr>
        <w:instrText>ADDIN CSL_CITATION {"citationItems":[{"id":"ITEM-1","itemData":{"DOI":"10.18553/JMCP.2019.25.10.1073","ISSN":"2376-1032","PMID":"31556829","abstract":"Estimating medication adherence through the use of pharmacy claims-based adherence calculations such as medication possession ratio (MPR) and proportion of days covered (PDC) plays a significant role in specialty pharmacy practice. Although MPR and PDC are frequently used in clinical practice, calculation methodologies vary, making meaningful comparisons of adherence rates difficult. In addition, MPR and PDC are increasingly used by insurance companies, pharmacies, accrediting bodies, and drug manufacturers to demonstrate quality differences or clinical benefit across the specialty pharmacy industry. Therefore, recognizing the source and effect of calculation variability is necessary to fully understand reported adherence results. This article highlights the challenges in standardizing adherence methodologies, minimum methodology considerations that should be reported with MPR and PDC results, and key elements to consider when interpreting and applying adherence results. Further, recommendations are provided to promote a more consistent description of calculation methods and to aid pharmacies in adherence measure analysis, interpretation, and application to practice, with a focus on specialty pharmacy programs. A detailed description of methodology as outlined in this article must be provided to ensure reproducibility, external validation, and scientific rigor. In the absence of standardization, specialty pharmacies should be prudent in their use of adherence calculations as a clinical benchmarking tool or comparative quality indicator with outside organizations. Furthermore, specialty pharmacies should consider using current adherence measure calculations to identify and provide targeted interventions to patients with potential adherence problems and strive to better demonstrate ties between adherence measures and direct clinical and cost outcomes.","author":[{"dropping-particle":"","family":"Canfield","given":"Scott L.","non-dropping-particle":"","parse-names":false,"suffix":""},{"dropping-particle":"","family":"Zuckerman","given":"Autumn","non-dropping-particle":"","parse-names":false,"suffix":""},{"dropping-particle":"","family":"Anguiano","given":"Rebekah H.","non-dropping-particle":"","parse-names":false,"suffix":""},{"dropping-particle":"","family":"Jolly","given":"Jacob A.","non-dropping-particle":"","parse-names":false,"suffix":""},{"dropping-particle":"","family":"DeClercq","given":"Josh","non-dropping-particle":"","parse-names":false,"suffix":""},{"dropping-particle":"","family":"Wascher","given":"Molly","non-dropping-particle":"","parse-names":false,"suffix":""},{"dropping-particle":"","family":"Choi","given":"Leena","non-dropping-particle":"","parse-names":false,"suffix":""},{"dropping-particle":"","family":"Knox","given":"Stacy","non-dropping-particle":"","parse-names":false,"suffix":""},{"dropping-particle":"","family":"Mitchell","given":"David G.","non-dropping-particle":"","parse-names":false,"suffix":""}],"container-title":"Journal of managed care &amp; specialty pharmacy","id":"ITEM-1","issue":"10","issued":{"date-parts":[["2019","10","1"]]},"page":"1073-1077","publisher":"J Manag Care Spec Pharm","title":"Navigating the Wild West of Medication Adherence Reporting in Specialty Pharmacy","type":"article-journal","volume":"25"},"uris":["http://www.mendeley.com/documents/?uuid=6b8eaf2e-6f75-390d-bca5-22836082b951"]}],"mendeley":{"formattedCitation":"&lt;sup&gt;16&lt;/sup&gt;","plainTextFormattedCitation":"16","previouslyFormattedCitation":"&lt;sup&gt;16&lt;/sup&gt;"},"properties":{"noteIndex":0},"schema":"https://github.com/citation-style-language/schema/raw/master/csl-citation.json"}</w:instrText>
      </w:r>
      <w:r w:rsidR="00BD0744" w:rsidRPr="000F1D8D">
        <w:rPr>
          <w:rFonts w:ascii="Arial" w:eastAsia="Arial" w:hAnsi="Arial" w:cs="Arial"/>
          <w:sz w:val="22"/>
          <w:szCs w:val="22"/>
        </w:rPr>
        <w:fldChar w:fldCharType="separate"/>
      </w:r>
      <w:r w:rsidR="00BD0744" w:rsidRPr="000F1D8D">
        <w:rPr>
          <w:rFonts w:ascii="Arial" w:eastAsia="Arial" w:hAnsi="Arial" w:cs="Arial"/>
          <w:noProof/>
          <w:sz w:val="22"/>
          <w:szCs w:val="22"/>
          <w:vertAlign w:val="superscript"/>
        </w:rPr>
        <w:t>16</w:t>
      </w:r>
      <w:r w:rsidR="00BD0744" w:rsidRPr="000F1D8D">
        <w:rPr>
          <w:rFonts w:ascii="Arial" w:eastAsia="Arial" w:hAnsi="Arial" w:cs="Arial"/>
          <w:sz w:val="22"/>
          <w:szCs w:val="22"/>
        </w:rPr>
        <w:fldChar w:fldCharType="end"/>
      </w:r>
      <w:r w:rsidRPr="000F1D8D">
        <w:rPr>
          <w:rFonts w:ascii="Arial" w:eastAsia="Arial" w:hAnsi="Arial" w:cs="Arial"/>
          <w:sz w:val="22"/>
          <w:szCs w:val="22"/>
        </w:rPr>
        <w:t>, are reported to range from 48-80% in the pediatric population</w:t>
      </w:r>
      <w:r w:rsidR="00463C5A" w:rsidRPr="000F1D8D">
        <w:rPr>
          <w:rFonts w:ascii="Arial" w:eastAsia="Arial" w:hAnsi="Arial" w:cs="Arial"/>
          <w:sz w:val="22"/>
          <w:szCs w:val="22"/>
        </w:rPr>
        <w:fldChar w:fldCharType="begin" w:fldLock="1"/>
      </w:r>
      <w:r w:rsidR="00463C5A" w:rsidRPr="000F1D8D">
        <w:rPr>
          <w:rFonts w:ascii="Arial" w:eastAsia="Arial" w:hAnsi="Arial" w:cs="Arial"/>
          <w:sz w:val="22"/>
          <w:szCs w:val="22"/>
        </w:rPr>
        <w:instrText>ADDIN CSL_CITATION {"citationItems":[{"id":"ITEM-1","itemData":{"DOI":"10.1002/PBC.26689","ISSN":"1545-5017","PMID":"28643377","abstract":"Introduction: The main therapeutic intervention for sickle cell disease (SCD) is hydroxyurea (HU). The effect of HU is largely through dose-dependent induction of fetal hemoglobin (HbF). Poor HU adherence is common among adolescents. Methods: Our 6-month, two-site pilot intervention trial, “HABIT,” was led by culturally aligned community health workers (CHWs). CHWs performed support primarily through home visits, augmented by tailored text message reminders. Dyads of youth with SCD ages 10–18 years and a parent were enrolled. A customized HbF biomarker, the percentage decrease from each patients’ highest historical HU-induced HbF, “Personal best,” was used to qualify for enrollment and assess HU adherence. Two primary outcomes were as follows: (1) intervention feasibility and acceptability and (2) HU adherence measured in three ways: monthly percentage improvement toward HbF Personal best, proportion of days covered (PDC) by HU, and self-report. Results: Twenty-eight dyads were enrolled, of which 89% were retained. Feasibility and acceptability were excellent. Controlling for group assignment and month of intervention, the intervention group improved percentage decrease from Personal best by 2.3% per month during months 0–4 (P = 0.30), with similar improvement in adherence demonstrated using pharmacy records. Self-reported adherence did not correlate. Dyads viewed CHWs as supportive for learning about SCD and HU, living with SCD and making progress in coordinated self-management responsibility to support a daily HU habit. Most parents and youth appreciated text message HU reminders. Conclusions: The HABIT pilot intervention demonstrated feasibility and acceptability with promising effect toward improved medication adherence. Testing in a larger multisite intervention trial is warranted.","author":[{"dropping-particle":"","family":"Green","given":"Nancy S.","non-dropping-particle":"","parse-names":false,"suffix":""},{"dropping-particle":"","family":"Manwani","given":"Deepa","non-dropping-particle":"","parse-names":false,"suffix":""},{"dropping-particle":"","family":"Matos","given":"Sergio","non-dropping-particle":"","parse-names":false,"suffix":""},{"dropping-particle":"","family":"Hicks","given":"April","non-dropping-particle":"","parse-names":false,"suffix":""},{"dropping-particle":"","family":"Soto","given":"Luisa","non-dropping-particle":"","parse-names":false,"suffix":""},{"dropping-particle":"","family":"Castillo","given":"Yina","non-dropping-particle":"","parse-names":false,"suffix":""},{"dropping-particle":"","family":"Ireland","given":"Karen","non-dropping-particle":"","parse-names":false,"suffix":""},{"dropping-particle":"","family":"Stennett","given":"Yvonne","non-dropping-particle":"","parse-names":false,"suffix":""},{"dropping-particle":"","family":"Findley","given":"Sally","non-dropping-particle":"","parse-names":false,"suffix":""},{"dropping-particle":"","family":"Jia","given":"Haomiao","non-dropping-particle":"","parse-names":false,"suffix":""},{"dropping-particle":"","family":"Smaldone","given":"Arlene","non-dropping-particle":"","parse-names":false,"suffix":""}],"container-title":"Pediatric blood &amp; cancer","id":"ITEM-1","issue":"12","issued":{"date-parts":[["2017","12","1"]]},"publisher":"Pediatr Blood Cancer","title":"Randomized feasibility trial to improve hydroxyurea adherence in youth ages 10-18 years through community health workers: The HABIT study","type":"article-journal","volume":"64"},"uris":["http://www.mendeley.com/documents/?uuid=e671be52-7c3d-35b9-86f8-89553cbacc0d"]}],"mendeley":{"formattedCitation":"&lt;sup&gt;17&lt;/sup&gt;","plainTextFormattedCitation":"17"},"properties":{"noteIndex":0},"schema":"https://github.com/citation-style-language/schema/raw/master/csl-citation.json"}</w:instrText>
      </w:r>
      <w:r w:rsidR="00463C5A" w:rsidRPr="000F1D8D">
        <w:rPr>
          <w:rFonts w:ascii="Arial" w:eastAsia="Arial" w:hAnsi="Arial" w:cs="Arial"/>
          <w:sz w:val="22"/>
          <w:szCs w:val="22"/>
        </w:rPr>
        <w:fldChar w:fldCharType="separate"/>
      </w:r>
      <w:r w:rsidR="00463C5A" w:rsidRPr="000F1D8D">
        <w:rPr>
          <w:rFonts w:ascii="Arial" w:eastAsia="Arial" w:hAnsi="Arial" w:cs="Arial"/>
          <w:noProof/>
          <w:sz w:val="22"/>
          <w:szCs w:val="22"/>
          <w:vertAlign w:val="superscript"/>
        </w:rPr>
        <w:t>17</w:t>
      </w:r>
      <w:r w:rsidR="00463C5A" w:rsidRPr="000F1D8D">
        <w:rPr>
          <w:rFonts w:ascii="Arial" w:eastAsia="Arial" w:hAnsi="Arial" w:cs="Arial"/>
          <w:sz w:val="22"/>
          <w:szCs w:val="22"/>
        </w:rPr>
        <w:fldChar w:fldCharType="end"/>
      </w:r>
      <w:r w:rsidR="00947485" w:rsidRPr="000F1D8D">
        <w:rPr>
          <w:rFonts w:ascii="Arial" w:eastAsia="Arial" w:hAnsi="Arial" w:cs="Arial"/>
          <w:sz w:val="22"/>
          <w:szCs w:val="22"/>
        </w:rPr>
        <w:fldChar w:fldCharType="begin" w:fldLock="1"/>
      </w:r>
      <w:r w:rsidR="00947485" w:rsidRPr="000F1D8D">
        <w:rPr>
          <w:rFonts w:ascii="Arial" w:eastAsia="Arial" w:hAnsi="Arial" w:cs="Arial"/>
          <w:sz w:val="22"/>
          <w:szCs w:val="22"/>
        </w:rPr>
        <w:instrText>ADDIN CSL_CITATION {"citationItems":[{"id":"ITEM-1","itemData":{"DOI":"10.1016/J.AMEPRE.2016.01.001","ISSN":"1873-2607","PMID":"27320463","abstract":"Introduction This study examined hydroxyurea usage in young children with sickle cell anemia within New York State (NYS). The cohort was 273 children with sickle cell anemia born in NYS in 2006-2009 and enrolled essentially continuously in Medicaid for the first 4 years of life. Methods Medicaid data were used to examine hydroxyurea usage in this group by age at first prescription fill, persistence, region, treatment institution, and year. Log-binomial regression models were used to estimate the likelihood of receiving hydroxyurea treatment. Data from birth through 2014 for all members of the study group were assembled and analyzed in 2015. Results About 25% of the cohort had at least one filled hydroxyurea prescription by their fifth birthday, and nearly 40% by the end of the study period. The mean proportion of days covered for the first year of therapy was 56.3%. Adherence was also assessed by calculating medication possession ratios for individual treatment periods. Slightly more than one third of treated children showed 80% coverage by these measures. There was a consistent, but not statistically significant, trend toward younger age at first fill. Significant regional and treatment center differences in initiation of hydroxyurea use, but not in persistence after initiation, were noted among NYS centers. Conclusions Subsequent to clinical studies demonstrating safety, current NYS-wide use of hydroxyurea in young children with sickle cell anemia appears to be widespread and increasing. However, practice differences between treatment centers and inadequate adherence may limit the full disease-modifying effects of hydroxyurea.","author":[{"dropping-particle":"","family":"Anders","given":"David G.","non-dropping-particle":"","parse-names":false,"suffix":""},{"dropping-particle":"","family":"Tang","given":"Fei","non-dropping-particle":"","parse-names":false,"suffix":""},{"dropping-particle":"","family":"Ledneva","given":"Tatania","non-dropping-particle":"","parse-names":false,"suffix":""},{"dropping-particle":"","family":"Caggana","given":"Michele","non-dropping-particle":"","parse-names":false,"suffix":""},{"dropping-particle":"","family":"Green","given":"Nancy S.","non-dropping-particle":"","parse-names":false,"suffix":""},{"dropping-particle":"","family":"Wang","given":"Ying","non-dropping-particle":"","parse-names":false,"suffix":""},{"dropping-particle":"","family":"Sturman","given":"Lawrence S.","non-dropping-particle":"","parse-names":false,"suffix":""}],"container-title":"American journal of preventive medicine","id":"ITEM-1","issue":"1 Suppl 1","issued":{"date-parts":[["2016","7","1"]]},"page":"S31-S38","publisher":"Am J Prev Med","title":"Hydroxyurea Use in Young Children With Sickle Cell Anemia in New York State","type":"article-journal","volume":"51"},"uris":["http://www.mendeley.com/documents/?uuid=b369a5a2-2666-3302-a2f8-dc6d8d0809f1"]},{"id":"ITEM-2","itemData":{"DOI":"10.1002/ajh.21968","ISSN":"03618609","PMID":"21328441","abstract":"While laboratory and clinical benefits of hydroxyurea for patients with sickle cell disease (SCD) are well-established, few data describe the extent and implications of non-adherence. We sought to assess adherence to hydroxyurea among patients with SCD and investigate associations between adherence and clinical and economic outcomes. Insurance claims of North Carolina Medicaid enrollees (6/2000-8/2008) with SCD were analyzed. Inclusion criteria included age &lt;65 years, continuous Medicaid enrollment ≥12 months before and following hydroxyurea initiation, and ≥2 hydroxyurea prescriptions. Three hundred twelve patients, mean age 21 (±12.2) years, met inclusion criteria and 35% were adherent, defined as a medication possession ration (MPR) ≥ 0.80; mean MPR was 0.60. In the 12 months following hydroxyurea initiation, adherence was associated with reduced risk of SCD-related hospitalization (hazard ratio [HR] = 0.65, p = .0351), all-cause and SCD-related emergency department visit (HR = 0.72, p = .0388; HR = 0.58, p = 0079, respectively), and vaso-occlusive event (HR = 0.66, p = .0130). Adherence was associated with reductions in health care costs such as all-cause and SCD-related inpatient (-$5,286, p &lt; .0001; -$4,403, p &lt; .0001, respectively), ancillary care (-$1,336, p &lt; .0001; -$836, p &lt; .0001, respectively), vaso-occlusive event-related (-$5,793, p &lt; .0001), and total costs (-$6,529, p &lt; .0001; -$5,329, p &lt; 0001, respectively). Adherence to hydroxyurea among SCD patients appears suboptimal and better adherence is associated with improved clinical and economic outcomes. © 2010 Wiley-Liss, Inc.","author":[{"dropping-particle":"","family":"Candrilli","given":"Sean D.","non-dropping-particle":"","parse-names":false,"suffix":""},{"dropping-particle":"","family":"O'Brien","given":"Sarah H.","non-dropping-particle":"","parse-names":false,"suffix":""},{"dropping-particle":"","family":"Ware","given":"Russell E.","non-dropping-particle":"","parse-names":false,"suffix":""},{"dropping-particle":"","family":"Nahata","given":"Milap C.","non-dropping-particle":"","parse-names":false,"suffix":""},{"dropping-particle":"","family":"Seiber","given":"Eric E.","non-dropping-particle":"","parse-names":false,"suffix":""},{"dropping-particle":"","family":"Balkrishnan","given":"Rajesh","non-dropping-particle":"","parse-names":false,"suffix":""}],"container-title":"American Journal of Hematology","id":"ITEM-2","issue":"3","issued":{"date-parts":[["2011"]]},"page":"273-277","title":"Hydroxyurea adherence and associated outcomes among Medicaid enrollees with sickle cell disease","type":"article-journal","volume":"86"},"uris":["http://www.mendeley.com/documents/?uuid=fe9397e8-dd83-4b5e-8587-2e703b9a330e"]},{"id":"ITEM-3","itemData":{"DOI":"10.1542/peds.2014-0177","ISSN":"10984275","PMID":"25404717","abstract":"OBJECTIVES: Describe rates of adherence for sickle cell disease (SCD) medications, identify patient and medication characteristics associated with nonadherence, and determine the effect of nonadherence and moderate adherence (defined as taking 60%-80% of doses) on clinical outcomes. METHODS: In February 2012 we systematically searched 6 databases for peer-reviewed articles published after 1940. We identified articles evaluating medication adherence among patients &lt;25 years old with SCD. Two authors reviewed each article to determine whether it should be included. Two authors extracted data, including medication studied, adherence measures used, rates of adherence, and barriers to adherence. RESULTS: Of 24 articles in the final review, 23 focused on 1 medication type: antibiotic prophylaxis (13 articles), iron chelation (5 articles), or hydroxyurea (5 articles). Adherence rates ranged from 16% to 89%; most reported moderate adherence. Medication factors contributed to adherence. For example, prophylactic antibiotic adherence was better with intramuscular than oral administration. Barriers included fear of side effects, incorrect dosing, and forgetting. Nonadherence was associated with more vaso-occlusive crises and hospitalizations. The limited data available on moderate adherence to iron chelation and hydroxyurea indicates some clinical benefit. CONCLUSIONS: Moderate adherence is typical among pediatric patients with SCD. Multicomponent interventions are needed to optimally deliver life-changing medications to these children and should include routine monitoring of adherence, support to prevent mistakes, and education to improve understanding of medication risks and benefits.","author":[{"dropping-particle":"","family":"Walsh","given":"Kathleen E.","non-dropping-particle":"","parse-names":false,"suffix":""},{"dropping-particle":"","family":"Cutrona","given":"Sarah L.","non-dropping-particle":"","parse-names":false,"suffix":""},{"dropping-particle":"","family":"Kavanagh","given":"Patricia L.","non-dropping-particle":"","parse-names":false,"suffix":""},{"dropping-particle":"","family":"Crosby","given":"Lori E.","non-dropping-particle":"","parse-names":false,"suffix":""},{"dropping-particle":"","family":"Malone","given":"Chris","non-dropping-particle":"","parse-names":false,"suffix":""},{"dropping-particle":"","family":"Lobner","given":"Katie","non-dropping-particle":"","parse-names":false,"suffix":""},{"dropping-particle":"","family":"Bundy","given":"David G.","non-dropping-particle":"","parse-names":false,"suffix":""}],"container-title":"Pediatrics","id":"ITEM-3","issue":"6","issued":{"date-parts":[["2014"]]},"page":"1175-1183","title":"Medication adherence among pediatric patients with sickle cell disease: A systematic review","type":"article-journal","volume":"134"},"uris":["http://www.mendeley.com/documents/?uuid=cadedc54-07b1-4337-92b3-9da1fbc985ba"]},{"id":"ITEM-4","itemData":{"DOI":"10.1002/PBC.26689","ISSN":"1545-5017","PMID":"28643377","abstract":"Introduction: The main therapeutic intervention for sickle cell disease (SCD) is hydroxyurea (HU). The effect of HU is largely through dose-dependent induction of fetal hemoglobin (HbF). Poor HU adherence is common among adolescents. Methods: Our 6-month, two-site pilot intervention trial, “HABIT,” was led by culturally aligned community health workers (CHWs). CHWs performed support primarily through home visits, augmented by tailored text message reminders. Dyads of youth with SCD ages 10–18 years and a parent were enrolled. A customized HbF biomarker, the percentage decrease from each patients’ highest historical HU-induced HbF, “Personal best,” was used to qualify for enrollment and assess HU adherence. Two primary outcomes were as follows: (1) intervention feasibility and acceptability and (2) HU adherence measured in three ways: monthly percentage improvement toward HbF Personal best, proportion of days covered (PDC) by HU, and self-report. Results: Twenty-eight dyads were enrolled, of which 89% were retained. Feasibility and acceptability were excellent. Controlling for group assignment and month of intervention, the intervention group improved percentage decrease from Personal best by 2.3% per month during months 0–4 (P = 0.30), with similar improvement in adherence demonstrated using pharmacy records. Self-reported adherence did not correlate. Dyads viewed CHWs as supportive for learning about SCD and HU, living with SCD and making progress in coordinated self-management responsibility to support a daily HU habit. Most parents and youth appreciated text message HU reminders. Conclusions: The HABIT pilot intervention demonstrated feasibility and acceptability with promising effect toward improved medication adherence. Testing in a larger multisite intervention trial is warranted.","author":[{"dropping-particle":"","family":"Green","given":"Nancy S.","non-dropping-particle":"","parse-names":false,"suffix":""},{"dropping-particle":"","family":"Manwani","given":"Deepa","non-dropping-particle":"","parse-names":false,"suffix":""},{"dropping-particle":"","family":"Matos","given":"Sergio","non-dropping-particle":"","parse-names":false,"suffix":""},{"dropping-particle":"","family":"Hicks","given":"April","non-dropping-particle":"","parse-names":false,"suffix":""},{"dropping-particle":"","family":"Soto","given":"Luisa","non-dropping-particle":"","parse-names":false,"suffix":""},{"dropping-particle":"","family":"Castillo","given":"Yina","non-dropping-particle":"","parse-names":false,"suffix":""},{"dropping-particle":"","family":"Ireland","given":"Karen","non-dropping-particle":"","parse-names":false,"suffix":""},{"dropping-particle":"","family":"Stennett","given":"Yvonne","non-dropping-particle":"","parse-names":false,"suffix":""},{"dropping-particle":"","family":"Findley","given":"Sally","non-dropping-particle":"","parse-names":false,"suffix":""},{"dropping-particle":"","family":"Jia","given":"Haomiao","non-dropping-particle":"","parse-names":false,"suffix":""},{"dropping-particle":"","family":"Smaldone","given":"Arlene","non-dropping-particle":"","parse-names":false,"suffix":""}],"container-title":"Pediatric blood &amp; cancer","id":"ITEM-4","issue":"12","issued":{"date-parts":[["2017","12","1"]]},"publisher":"Pediatr Blood Cancer","title":"Randomized feasibility trial to improve hydroxyurea adherence in youth ages 10-18 years through community health workers: The HABIT study","type":"article-journal","volume":"64"},"uris":["http://www.mendeley.com/documents/?uuid=e671be52-7c3d-35b9-86f8-89553cbacc0d"]}],"mendeley":{"formattedCitation":"&lt;sup&gt;17–20&lt;/sup&gt;","plainTextFormattedCitation":"17–20","previouslyFormattedCitation":"&lt;sup&gt;17–20&lt;/sup&gt;"},"properties":{"noteIndex":0},"schema":"https://github.com/citation-style-language/schema/raw/master/csl-citation.json"}</w:instrText>
      </w:r>
      <w:r w:rsidR="00947485" w:rsidRPr="000F1D8D">
        <w:rPr>
          <w:rFonts w:ascii="Arial" w:eastAsia="Arial" w:hAnsi="Arial" w:cs="Arial"/>
          <w:sz w:val="22"/>
          <w:szCs w:val="22"/>
        </w:rPr>
        <w:fldChar w:fldCharType="separate"/>
      </w:r>
      <w:r w:rsidR="00947485" w:rsidRPr="000F1D8D">
        <w:rPr>
          <w:rFonts w:ascii="Arial" w:eastAsia="Arial" w:hAnsi="Arial" w:cs="Arial"/>
          <w:noProof/>
          <w:sz w:val="22"/>
          <w:szCs w:val="22"/>
          <w:vertAlign w:val="superscript"/>
        </w:rPr>
        <w:t>17–20</w:t>
      </w:r>
      <w:r w:rsidR="00947485" w:rsidRPr="000F1D8D">
        <w:rPr>
          <w:rFonts w:ascii="Arial" w:eastAsia="Arial" w:hAnsi="Arial" w:cs="Arial"/>
          <w:sz w:val="22"/>
          <w:szCs w:val="22"/>
        </w:rPr>
        <w:fldChar w:fldCharType="end"/>
      </w:r>
      <w:r w:rsidRPr="000F1D8D">
        <w:rPr>
          <w:rFonts w:ascii="Arial" w:eastAsia="Arial" w:hAnsi="Arial" w:cs="Arial"/>
          <w:sz w:val="22"/>
          <w:szCs w:val="22"/>
        </w:rPr>
        <w:t>. Patient adherence rates vary due to lack of parent and patient engagement and understanding of side effects</w:t>
      </w:r>
      <w:r w:rsidR="00ED40C5" w:rsidRPr="000F1D8D">
        <w:rPr>
          <w:rFonts w:ascii="Arial" w:eastAsia="Arial" w:hAnsi="Arial" w:cs="Arial"/>
          <w:sz w:val="22"/>
          <w:szCs w:val="22"/>
        </w:rPr>
        <w:fldChar w:fldCharType="begin" w:fldLock="1"/>
      </w:r>
      <w:r w:rsidR="00947485" w:rsidRPr="000F1D8D">
        <w:rPr>
          <w:rFonts w:ascii="Arial" w:eastAsia="Arial" w:hAnsi="Arial" w:cs="Arial"/>
          <w:sz w:val="22"/>
          <w:szCs w:val="22"/>
        </w:rPr>
        <w:instrText>ADDIN CSL_CITATION {"citationItems":[{"id":"ITEM-1","itemData":{"DOI":"10.1586/EHM.10.22","ISSN":"1747-4094","PMID":"21082977","author":[{"dropping-particle":"","family":"Brandow","given":"Amanda M.","non-dropping-particle":"","parse-names":false,"suffix":""},{"dropping-particle":"","family":"Panepinto","given":"Julie A.","non-dropping-particle":"","parse-names":false,"suffix":""}],"container-title":"Expert review of hematology","id":"ITEM-1","issue":"3","issued":{"date-parts":[["2010","6"]]},"page":"255-260","publisher":"Expert Rev Hematol","title":"Hydroxyurea use in sickle cell disease: the battle with low prescription rates, poor patient compliance and fears of toxicities","type":"article-journal","volume":"3"},"uris":["http://www.mendeley.com/documents/?uuid=5b0ee35c-6abb-33bf-88e3-2995e8e2aa27"]}],"mendeley":{"formattedCitation":"&lt;sup&gt;21&lt;/sup&gt;","plainTextFormattedCitation":"21","previouslyFormattedCitation":"&lt;sup&gt;21&lt;/sup&gt;"},"properties":{"noteIndex":0},"schema":"https://github.com/citation-style-language/schema/raw/master/csl-citation.json"}</w:instrText>
      </w:r>
      <w:r w:rsidR="00ED40C5" w:rsidRPr="000F1D8D">
        <w:rPr>
          <w:rFonts w:ascii="Arial" w:eastAsia="Arial" w:hAnsi="Arial" w:cs="Arial"/>
          <w:sz w:val="22"/>
          <w:szCs w:val="22"/>
        </w:rPr>
        <w:fldChar w:fldCharType="separate"/>
      </w:r>
      <w:r w:rsidR="00947485" w:rsidRPr="000F1D8D">
        <w:rPr>
          <w:rFonts w:ascii="Arial" w:eastAsia="Arial" w:hAnsi="Arial" w:cs="Arial"/>
          <w:noProof/>
          <w:sz w:val="22"/>
          <w:szCs w:val="22"/>
          <w:vertAlign w:val="superscript"/>
        </w:rPr>
        <w:t>21</w:t>
      </w:r>
      <w:r w:rsidR="00ED40C5" w:rsidRPr="000F1D8D">
        <w:rPr>
          <w:rFonts w:ascii="Arial" w:eastAsia="Arial" w:hAnsi="Arial" w:cs="Arial"/>
          <w:sz w:val="22"/>
          <w:szCs w:val="22"/>
        </w:rPr>
        <w:fldChar w:fldCharType="end"/>
      </w:r>
      <w:r w:rsidRPr="000F1D8D">
        <w:rPr>
          <w:rFonts w:ascii="Arial" w:eastAsia="Arial" w:hAnsi="Arial" w:cs="Arial"/>
          <w:sz w:val="22"/>
          <w:szCs w:val="22"/>
        </w:rPr>
        <w:t>, inability to attend frequent monitoring visits, transition to adolescence</w:t>
      </w:r>
      <w:r w:rsidR="007F722D" w:rsidRPr="000F1D8D">
        <w:rPr>
          <w:rFonts w:ascii="Arial" w:eastAsia="Arial" w:hAnsi="Arial" w:cs="Arial"/>
          <w:sz w:val="22"/>
          <w:szCs w:val="22"/>
        </w:rPr>
        <w:fldChar w:fldCharType="begin" w:fldLock="1"/>
      </w:r>
      <w:r w:rsidR="00947485" w:rsidRPr="000F1D8D">
        <w:rPr>
          <w:rFonts w:ascii="Arial" w:eastAsia="Arial" w:hAnsi="Arial" w:cs="Arial"/>
          <w:sz w:val="22"/>
          <w:szCs w:val="22"/>
        </w:rPr>
        <w:instrText>ADDIN CSL_CITATION {"citationItems":[{"id":"ITEM-1","itemData":{"DOI":"10.1016/j.jpeds.2018.01.054","ISSN":"10976833","abstract":"Objectives: To examine the effect of a community health worker (CHW) intervention, augmented by tailored text messages, on adherence to hydroxyurea therapy in youths with sickle cell disease, as well as on generic and disease-specific health-related quality of life (HrQL) and youth-parent self-management responsibility concordance. Study design: We conducted a 2-site randomized controlled feasibility study (Hydroxyurea Adherence for Personal Best in Sickle Cell Treatment [HABIT]) with 2:1 intervention allocation. Youths and parents participated as dyads. Intervention dyads received CHW visits and text message reminders. Data were analyzed using descriptive statistics, the Wilcoxon signed-rank test, and growth models adjusting for group assignment, time, and multiple comparisons. Changes in outcomes from 0 to 6 months were compared with their respective minimal clinically important differences. Results: A total of 28 dyads (mean age of youths, 14.3 ± 2.6 years; 50% Hispanic) participated (18 in the intervention group, 10 in the control group), with 10.7% attrition. Accounting for group assignment, time, and multiple comparisons, at 6 months intervention youths reported improved generic HrQL total score (9.8 points; 95% CI, 0.4-19.2) and Emotions subscale score (15.0 points; 95% CI, 1.6-28.4); improved disease-specific subscale scores for Worry I (30.0 points; 95% CI, 8.5-51.5), Emotions (37.0 points, 95% CI, 9.4-64.5), and Communication I (17.8 points; 95% CI, 0.5-35.1); and 3-month dyad self-management responsibility concordance (3.5 points; 95% CI, −0.2 to 7.1). There were no differences in parent proxy-reported HrQL measures at 6 months. Conclusions: These findings add to research examining effects of behavioral interventions on HrQL outcomes in youths with sickle cell disease. Trial registration: ClinicalTrials.gov: NCT02029742.","author":[{"dropping-particle":"","family":"Smaldone","given":"Arlene","non-dropping-particle":"","parse-names":false,"suffix":""},{"dropping-particle":"","family":"Findley","given":"Sally","non-dropping-particle":"","parse-names":false,"suffix":""},{"dropping-particle":"","family":"Manwani","given":"Deepa","non-dropping-particle":"","parse-names":false,"suffix":""},{"dropping-particle":"","family":"Jia","given":"Haomiao","non-dropping-particle":"","parse-names":false,"suffix":""},{"dropping-particle":"","family":"Green","given":"Nancy S.","non-dropping-particle":"","parse-names":false,"suffix":""}],"container-title":"Journal of Pediatrics","id":"ITEM-1","issued":{"date-parts":[["2018"]]},"page":"177-185.e2","publisher":"Elsevier Inc.","title":"HABIT, a Randomized Feasibility Trial to Increase Hydroxyurea Adherence, Suggests Improved Health-Related Quality of Life in Youths with Sickle Cell Disease","type":"article-journal","volume":"197"},"uris":["http://www.mendeley.com/documents/?uuid=3f443487-0fe5-44b0-a835-8a40d6cac0d2"]}],"mendeley":{"formattedCitation":"&lt;sup&gt;22&lt;/sup&gt;","plainTextFormattedCitation":"22","previouslyFormattedCitation":"&lt;sup&gt;22&lt;/sup&gt;"},"properties":{"noteIndex":0},"schema":"https://github.com/citation-style-language/schema/raw/master/csl-citation.json"}</w:instrText>
      </w:r>
      <w:r w:rsidR="007F722D" w:rsidRPr="000F1D8D">
        <w:rPr>
          <w:rFonts w:ascii="Arial" w:eastAsia="Arial" w:hAnsi="Arial" w:cs="Arial"/>
          <w:sz w:val="22"/>
          <w:szCs w:val="22"/>
        </w:rPr>
        <w:fldChar w:fldCharType="separate"/>
      </w:r>
      <w:r w:rsidR="00947485" w:rsidRPr="000F1D8D">
        <w:rPr>
          <w:rFonts w:ascii="Arial" w:eastAsia="Arial" w:hAnsi="Arial" w:cs="Arial"/>
          <w:noProof/>
          <w:sz w:val="22"/>
          <w:szCs w:val="22"/>
          <w:vertAlign w:val="superscript"/>
        </w:rPr>
        <w:t>22</w:t>
      </w:r>
      <w:r w:rsidR="007F722D" w:rsidRPr="000F1D8D">
        <w:rPr>
          <w:rFonts w:ascii="Arial" w:eastAsia="Arial" w:hAnsi="Arial" w:cs="Arial"/>
          <w:sz w:val="22"/>
          <w:szCs w:val="22"/>
        </w:rPr>
        <w:fldChar w:fldCharType="end"/>
      </w:r>
      <w:r w:rsidRPr="000F1D8D">
        <w:rPr>
          <w:rFonts w:ascii="Arial" w:eastAsia="Arial" w:hAnsi="Arial" w:cs="Arial"/>
          <w:sz w:val="22"/>
          <w:szCs w:val="22"/>
        </w:rPr>
        <w:t>, lapse in insurance coverage</w:t>
      </w:r>
      <w:r w:rsidR="007F722D" w:rsidRPr="000F1D8D">
        <w:rPr>
          <w:rFonts w:ascii="Arial" w:eastAsia="Arial" w:hAnsi="Arial" w:cs="Arial"/>
          <w:sz w:val="22"/>
          <w:szCs w:val="22"/>
        </w:rPr>
        <w:fldChar w:fldCharType="begin" w:fldLock="1"/>
      </w:r>
      <w:r w:rsidR="00947485" w:rsidRPr="000F1D8D">
        <w:rPr>
          <w:rFonts w:ascii="Arial" w:eastAsia="Arial" w:hAnsi="Arial" w:cs="Arial"/>
          <w:sz w:val="22"/>
          <w:szCs w:val="22"/>
        </w:rPr>
        <w:instrText>ADDIN CSL_CITATION {"citationItems":[{"id":"ITEM-1","itemData":{"DOI":"10.1016/j.jpeds.2009.09.044","ISSN":"00223476","abstract":"Objectives: To assess adherence to hydroxyurea therapy in children with sickle cell anemia (SCA), evaluate the association between adherence and hematologic profile, and identify barriers and facilitators of adherence. Study design: Children with SCA (n=75) receiving hydroxyurea were recruited for a single-institution cross-sectional study. The primary outcome was association between treatment adherence and percent fetal hemoglobin (HbF). Results: Good adherence was estimated at 82% with visual analog scale, 84% with Morisky score, 85% with medical provider report, 77% with clinic visits, and 49% on the basis of pharmacy refills. Increase in HbF was moderately associated with good adherence as measured with the parent/proxy Morisky score (r=-0.39; 95% CI, -0.58-0.17; P &lt; .01) and prescription refills (r=0.39; 95% CI, 0.16-0.57; P &lt; .01). The number of pharmacy refills and the Morisky score explained 23% of the variation in HbF response. Conclusions: Adherence was ≥75% with 4 of 5 measures. Pharmacy refills and the Modified Morisky Scale may be used to identify children at high risk for poor response because of non-adherence and children with good adherence with poor response because of individual pharmacodynamics. Future research should prospectively compare adherence measures and evaluate methods to improve treatment adherence. © 2010 Mosby, Inc. All rights reserved.","author":[{"dropping-particle":"","family":"Thornburg","given":"Courtney D.","non-dropping-particle":"","parse-names":false,"suffix":""},{"dropping-particle":"","family":"Calatroni","given":"Agustin","non-dropping-particle":"","parse-names":false,"suffix":""},{"dropping-particle":"","family":"Telen","given":"Marilyn","non-dropping-particle":"","parse-names":false,"suffix":""},{"dropping-particle":"","family":"Kemper","given":"Alex R.","non-dropping-particle":"","parse-names":false,"suffix":""}],"container-title":"Journal of Pediatrics","id":"ITEM-1","issue":"3","issued":{"date-parts":[["2010"]]},"page":"415-419","publisher":"Mosby, Inc.","title":"Adherence to Hydroxyurea Therapy in Children with Sickle Cell Anemia","type":"article-journal","volume":"156"},"uris":["http://www.mendeley.com/documents/?uuid=5f87b5d0-689b-42cd-82ad-3c8526d12da5"]}],"mendeley":{"formattedCitation":"&lt;sup&gt;23&lt;/sup&gt;","plainTextFormattedCitation":"23","previouslyFormattedCitation":"&lt;sup&gt;23&lt;/sup&gt;"},"properties":{"noteIndex":0},"schema":"https://github.com/citation-style-language/schema/raw/master/csl-citation.json"}</w:instrText>
      </w:r>
      <w:r w:rsidR="007F722D" w:rsidRPr="000F1D8D">
        <w:rPr>
          <w:rFonts w:ascii="Arial" w:eastAsia="Arial" w:hAnsi="Arial" w:cs="Arial"/>
          <w:sz w:val="22"/>
          <w:szCs w:val="22"/>
        </w:rPr>
        <w:fldChar w:fldCharType="separate"/>
      </w:r>
      <w:r w:rsidR="00947485" w:rsidRPr="000F1D8D">
        <w:rPr>
          <w:rFonts w:ascii="Arial" w:eastAsia="Arial" w:hAnsi="Arial" w:cs="Arial"/>
          <w:noProof/>
          <w:sz w:val="22"/>
          <w:szCs w:val="22"/>
          <w:vertAlign w:val="superscript"/>
        </w:rPr>
        <w:t>23</w:t>
      </w:r>
      <w:r w:rsidR="007F722D" w:rsidRPr="000F1D8D">
        <w:rPr>
          <w:rFonts w:ascii="Arial" w:eastAsia="Arial" w:hAnsi="Arial" w:cs="Arial"/>
          <w:sz w:val="22"/>
          <w:szCs w:val="22"/>
        </w:rPr>
        <w:fldChar w:fldCharType="end"/>
      </w:r>
      <w:r w:rsidRPr="000F1D8D">
        <w:rPr>
          <w:rFonts w:ascii="Arial" w:eastAsia="Arial" w:hAnsi="Arial" w:cs="Arial"/>
          <w:sz w:val="22"/>
          <w:szCs w:val="22"/>
        </w:rPr>
        <w:t xml:space="preserve">, and lack of access to refills and </w:t>
      </w:r>
      <w:sdt>
        <w:sdtPr>
          <w:rPr>
            <w:rFonts w:ascii="Arial" w:hAnsi="Arial" w:cs="Arial"/>
            <w:sz w:val="22"/>
            <w:szCs w:val="22"/>
          </w:rPr>
          <w:tag w:val="goog_rdk_20"/>
          <w:id w:val="36715992"/>
        </w:sdtPr>
        <w:sdtEndPr/>
        <w:sdtContent/>
      </w:sdt>
      <w:r w:rsidRPr="000F1D8D">
        <w:rPr>
          <w:rFonts w:ascii="Arial" w:eastAsia="Arial" w:hAnsi="Arial" w:cs="Arial"/>
          <w:sz w:val="22"/>
          <w:szCs w:val="22"/>
        </w:rPr>
        <w:t>different formulations of the drug</w:t>
      </w:r>
      <w:r w:rsidR="00A92C0C" w:rsidRPr="000F1D8D">
        <w:rPr>
          <w:rFonts w:ascii="Arial" w:eastAsia="Arial" w:hAnsi="Arial" w:cs="Arial"/>
          <w:sz w:val="22"/>
          <w:szCs w:val="22"/>
        </w:rPr>
        <w:fldChar w:fldCharType="begin" w:fldLock="1"/>
      </w:r>
      <w:r w:rsidR="00514A1C" w:rsidRPr="000F1D8D">
        <w:rPr>
          <w:rFonts w:ascii="Arial" w:eastAsia="Arial" w:hAnsi="Arial" w:cs="Arial"/>
          <w:sz w:val="22"/>
          <w:szCs w:val="22"/>
        </w:rPr>
        <w:instrText>ADDIN CSL_CITATION {"citationItems":[{"id":"ITEM-1","itemData":{"DOI":"10.1080/16078454.2018.1549801","ISSN":"16078454","PMID":"30479187","abstract":"Objective: Hospital admissions are significant events in the care of individuals with sickle cell disease (SCD) due to associated costs and potential for quality of life compromise. Methods: This cross-sectional cohort study evaluated risk factors for admissions and readmissions between October 2014 and March 2016 in adults with SCD (n = 201) and caregivers of children with SCD (n = 330) at six centres across the U.S. Survey items assessed social determinants of health (e.g. educational attainment, difficulty paying bills), depressive symptoms, social support, health literacy, spirituality, missed clinic appointments, and outcomes hospital admissions and 30-day readmissions in the previous year. Results: A majority of adults (64%) and almost half of children (reported by caregivers: 43%) were admitted, and fewer readmitted (adults: 28%; children: 9%). The most common reason for hospitalization was uncontrolled pain (admission: adults: 84%, children: 69%; readmissions: adults: 83%, children: 69%). Children were less likely to have admissions/readmissions than adults (Admissions: OR: 0.35, 95% CI: [0.23,0.52]); Readmissions: 0.23 [0.13,0.41]). For all participants, missing appointments were associated with admissions (1.66 [1.07, 2.58]) and readmissions (2.68 [1.28, 6.29]), as were depressive symptoms (admissions: 1.36 [1.16,1.59]; readmissions: 1.24 [1.04, 1.49]). In adults, difficulty paying bills was associated with more admissions, (3.11 [1.47,6.62]) readmissions (3.7 [1.76,7.79]), and higher spirituality was associated with fewer readmissions (0.39 [0.18,0.81]). Discussion: Missing appointments was significantly associated with admissions and readmissions. Findings confirm that age, mental health, financial insecurity, spirituality, and clinic attendance are all modifiable factors that are associated with admissions and readmissions; addressing them could reduce hospitalizations.","author":[{"dropping-particle":"","family":"Cronin","given":"Robert M.","non-dropping-particle":"","parse-names":false,"suffix":""},{"dropping-particle":"","family":"Hankins","given":"Jane S.","non-dropping-particle":"","parse-names":false,"suffix":""},{"dropping-particle":"","family":"Byrd","given":"Jeannie","non-dropping-particle":"","parse-names":false,"suffix":""},{"dropping-particle":"","family":"Pernell","given":"Brandi M.","non-dropping-particle":"","parse-names":false,"suffix":""},{"dropping-particle":"","family":"Kassim","given":"Adetola","non-dropping-particle":"","parse-names":false,"suffix":""},{"dropping-particle":"","family":"Adams-Graves","given":"Patricia","non-dropping-particle":"","parse-names":false,"suffix":""},{"dropping-particle":"","family":"Thompson","given":"Alexis","non-dropping-particle":"","parse-names":false,"suffix":""},{"dropping-particle":"","family":"Kalinyak","given":"Karen","non-dropping-particle":"","parse-names":false,"suffix":""},{"dropping-particle":"","family":"DeBaun","given":"Michael","non-dropping-particle":"","parse-names":false,"suffix":""},{"dropping-particle":"","family":"Treadwell","given":"Marsha","non-dropping-particle":"","parse-names":false,"suffix":""}],"container-title":"Hematology (United Kingdom)","id":"ITEM-1","issue":"1","issued":{"date-parts":[["2019"]]},"page":"189-198","publisher":"Taylor &amp; Francis","title":"Risk factors for hospitalizations and readmissions among individuals with sickle cell disease: results of a U.S. survey study","type":"article-journal","volume":"24"},"uris":["http://www.mendeley.com/documents/?uuid=78e9bd3d-dd94-42ee-8e5d-3bcda264cb0e"]}],"mendeley":{"formattedCitation":"&lt;sup&gt;24&lt;/sup&gt;","plainTextFormattedCitation":"24","previouslyFormattedCitation":"&lt;sup&gt;24&lt;/sup&gt;"},"properties":{"noteIndex":0},"schema":"https://github.com/citation-style-language/schema/raw/master/csl-citation.json"}</w:instrText>
      </w:r>
      <w:r w:rsidR="00A92C0C" w:rsidRPr="000F1D8D">
        <w:rPr>
          <w:rFonts w:ascii="Arial" w:eastAsia="Arial" w:hAnsi="Arial" w:cs="Arial"/>
          <w:sz w:val="22"/>
          <w:szCs w:val="22"/>
        </w:rPr>
        <w:fldChar w:fldCharType="separate"/>
      </w:r>
      <w:r w:rsidR="00A92C0C" w:rsidRPr="000F1D8D">
        <w:rPr>
          <w:rFonts w:ascii="Arial" w:eastAsia="Arial" w:hAnsi="Arial" w:cs="Arial"/>
          <w:noProof/>
          <w:sz w:val="22"/>
          <w:szCs w:val="22"/>
          <w:vertAlign w:val="superscript"/>
        </w:rPr>
        <w:t>24</w:t>
      </w:r>
      <w:r w:rsidR="00A92C0C" w:rsidRPr="000F1D8D">
        <w:rPr>
          <w:rFonts w:ascii="Arial" w:eastAsia="Arial" w:hAnsi="Arial" w:cs="Arial"/>
          <w:sz w:val="22"/>
          <w:szCs w:val="22"/>
        </w:rPr>
        <w:fldChar w:fldCharType="end"/>
      </w:r>
      <w:r w:rsidRPr="000F1D8D">
        <w:rPr>
          <w:rFonts w:ascii="Arial" w:eastAsia="Arial" w:hAnsi="Arial" w:cs="Arial"/>
          <w:sz w:val="22"/>
          <w:szCs w:val="22"/>
        </w:rPr>
        <w:t>. Increasing adherence has focused on teaching</w:t>
      </w:r>
      <w:r w:rsidR="005412F7" w:rsidRPr="000F1D8D">
        <w:rPr>
          <w:rFonts w:ascii="Arial" w:eastAsia="Arial" w:hAnsi="Arial" w:cs="Arial"/>
          <w:sz w:val="22"/>
          <w:szCs w:val="22"/>
        </w:rPr>
        <w:fldChar w:fldCharType="begin" w:fldLock="1"/>
      </w:r>
      <w:r w:rsidR="00514A1C" w:rsidRPr="000F1D8D">
        <w:rPr>
          <w:rFonts w:ascii="Arial" w:eastAsia="Arial" w:hAnsi="Arial" w:cs="Arial"/>
          <w:sz w:val="22"/>
          <w:szCs w:val="22"/>
        </w:rPr>
        <w:instrText>ADDIN CSL_CITATION {"citationItems":[{"id":"ITEM-1","itemData":{"DOI":"10.1016/j.jpeds.2018.05.019","ISSN":"10976833","abstract":"Objective: To evaluate the impact of an initiative to increase hydroxyurea use among children with sickle cell anemia (SCA) who presented to the emergency department (ED). Study design: This observational cohort study included children with SCA not taking hydroxyurea who presented to the ED with pain or acute chest syndrome and then attended a Quick-Start Hydroxyurea Initiation Project (Q-SHIP) session. A Q-SHIP session includes a hematologist-led discussion on hydroxyurea, a video of patients talking about hydroxyurea, and a direct offer to start hydroxyurea. Results: Over 64 weeks, 112 eligible patients presented to the ED and 59% (n = 66) participated in a Q-SHIP session a median of 6 days (IQR 2, 20 days) after ED or hospital discharge; 55% of participants (n = 36) started hydroxyurea. After a median follow-up of 49 weeks, 83% (n = 30) of these participants continued hydroxyurea. Laboratory markers of hydroxyurea adherence were significantly increased from baseline: median mean corpuscular volume +8.6 fL (IQR 5.0, 17.7, P &lt;.0001) and median hemoglobin F +5.7% (IQR 2.5, 9.8, P =.0001). Comparing Q-SHIP participants to nonparticipants, 12 weeks after ED visit, participants were more likely to have started hydroxyurea than nonparticipants (53% vs 20%, P =.0004) and to be taking hydroxyurea at last follow-up (50% vs 20%, P =.001). Two years after the implementation of Q-SHIP the overall proportion of eligible patients on hydroxyurea presenting to our ED increased from 56% to 80%, P =.0069. Conclusions: Participation in a clinic to specifically address starting hydroxyurea after a SCA complication increases hydroxyurea use.","author":[{"dropping-particle":"","family":"Pecker","given":"Lydia H.","non-dropping-particle":"","parse-names":false,"suffix":""},{"dropping-particle":"","family":"Kappa","given":"Sarah","non-dropping-particle":"","parse-names":false,"suffix":""},{"dropping-particle":"","family":"Greenfest","given":"Adam","non-dropping-particle":"","parse-names":false,"suffix":""},{"dropping-particle":"","family":"Darbari","given":"Deepika S.","non-dropping-particle":"","parse-names":false,"suffix":""},{"dropping-particle":"","family":"Nickel","given":"Robert Sheppard","non-dropping-particle":"","parse-names":false,"suffix":""}],"container-title":"Journal of Pediatrics","id":"ITEM-1","issued":{"date-parts":[["2018"]]},"page":"221-228.e16","publisher":"Elsevier Inc.","title":"Targeted Hydroxyurea Education after an Emergency Department Visit Increases Hydroxyurea Use in Children with Sickle Cell Anemia","type":"article-journal","volume":"201"},"uris":["http://www.mendeley.com/documents/?uuid=7f6312bb-d9de-4de7-be55-948590d014bb"]}],"mendeley":{"formattedCitation":"&lt;sup&gt;25&lt;/sup&gt;","plainTextFormattedCitation":"25","previouslyFormattedCitation":"&lt;sup&gt;25&lt;/sup&gt;"},"properties":{"noteIndex":0},"schema":"https://github.com/citation-style-language/schema/raw/master/csl-citation.json"}</w:instrText>
      </w:r>
      <w:r w:rsidR="005412F7" w:rsidRPr="000F1D8D">
        <w:rPr>
          <w:rFonts w:ascii="Arial" w:eastAsia="Arial" w:hAnsi="Arial" w:cs="Arial"/>
          <w:sz w:val="22"/>
          <w:szCs w:val="22"/>
        </w:rPr>
        <w:fldChar w:fldCharType="separate"/>
      </w:r>
      <w:r w:rsidR="00A92C0C" w:rsidRPr="000F1D8D">
        <w:rPr>
          <w:rFonts w:ascii="Arial" w:eastAsia="Arial" w:hAnsi="Arial" w:cs="Arial"/>
          <w:noProof/>
          <w:sz w:val="22"/>
          <w:szCs w:val="22"/>
          <w:vertAlign w:val="superscript"/>
        </w:rPr>
        <w:t>25</w:t>
      </w:r>
      <w:r w:rsidR="005412F7" w:rsidRPr="000F1D8D">
        <w:rPr>
          <w:rFonts w:ascii="Arial" w:eastAsia="Arial" w:hAnsi="Arial" w:cs="Arial"/>
          <w:sz w:val="22"/>
          <w:szCs w:val="22"/>
        </w:rPr>
        <w:fldChar w:fldCharType="end"/>
      </w:r>
      <w:r w:rsidRPr="000F1D8D">
        <w:rPr>
          <w:rFonts w:ascii="Arial" w:eastAsia="Arial" w:hAnsi="Arial" w:cs="Arial"/>
          <w:sz w:val="22"/>
          <w:szCs w:val="22"/>
        </w:rPr>
        <w:t xml:space="preserve"> and monitoring medication possession and administration using mobile applications</w:t>
      </w:r>
      <w:r w:rsidR="00BE2E02" w:rsidRPr="000F1D8D">
        <w:rPr>
          <w:rFonts w:ascii="Arial" w:eastAsia="Arial" w:hAnsi="Arial" w:cs="Arial"/>
          <w:sz w:val="22"/>
          <w:szCs w:val="22"/>
          <w:vertAlign w:val="superscript"/>
        </w:rPr>
        <w:fldChar w:fldCharType="begin" w:fldLock="1"/>
      </w:r>
      <w:r w:rsidR="009B3C7C" w:rsidRPr="000F1D8D">
        <w:rPr>
          <w:rFonts w:ascii="Arial" w:eastAsia="Arial" w:hAnsi="Arial" w:cs="Arial"/>
          <w:sz w:val="22"/>
          <w:szCs w:val="22"/>
          <w:vertAlign w:val="superscript"/>
        </w:rPr>
        <w:instrText>ADDIN CSL_CITATION {"citationItems":[{"id":"ITEM-1","itemData":{"DOI":"10.1016/j.jpeds.2018.01.054","ISSN":"10976833","abstract":"Objectives: To examine the effect of a community health worker (CHW) intervention, augmented by tailored text messages, on adherence to hydroxyurea therapy in youths with sickle cell disease, as well as on generic and disease-specific health-related quality of life (HrQL) and youth-parent self-management responsibility concordance. Study design: We conducted a 2-site randomized controlled feasibility study (Hydroxyurea Adherence for Personal Best in Sickle Cell Treatment [HABIT]) with 2:1 intervention allocation. Youths and parents participated as dyads. Intervention dyads received CHW visits and text message reminders. Data were analyzed using descriptive statistics, the Wilcoxon signed-rank test, and growth models adjusting for group assignment, time, and multiple comparisons. Changes in outcomes from 0 to 6 months were compared with their respective minimal clinically important differences. Results: A total of 28 dyads (mean age of youths, 14.3 ± 2.6 years; 50% Hispanic) participated (18 in the intervention group, 10 in the control group), with 10.7% attrition. Accounting for group assignment, time, and multiple comparisons, at 6 months intervention youths reported improved generic HrQL total score (9.8 points; 95% CI, 0.4-19.2) and Emotions subscale score (15.0 points; 95% CI, 1.6-28.4); improved disease-specific subscale scores for Worry I (30.0 points; 95% CI, 8.5-51.5), Emotions (37.0 points, 95% CI, 9.4-64.5), and Communication I (17.8 points; 95% CI, 0.5-35.1); and 3-month dyad self-management responsibility concordance (3.5 points; 95% CI, −0.2 to 7.1). There were no differences in parent proxy-reported HrQL measures at 6 months. Conclusions: These findings add to research examining effects of behavioral interventions on HrQL outcomes in youths with sickle cell disease. Trial registration: ClinicalTrials.gov: NCT02029742.","author":[{"dropping-particle":"","family":"Smaldone","given":"Arlene","non-dropping-particle":"","parse-names":false,"suffix":""},{"dropping-particle":"","family":"Findley","given":"Sally","non-dropping-particle":"","parse-names":false,"suffix":""},{"dropping-particle":"","family":"Manwani","given":"Deepa","non-dropping-particle":"","parse-names":false,"suffix":""},{"dropping-particle":"","family":"Jia","given":"Haomiao","non-dropping-particle":"","parse-names":false,"suffix":""},{"dropping-particle":"","family":"Green","given":"Nancy S.","non-dropping-particle":"","parse-names":false,"suffix":""}],"container-title":"Journal of Pediatrics","id":"ITEM-1","issued":{"date-parts":[["2018"]]},"page":"177-185.e2","publisher":"Elsevier Inc.","title":"HABIT, a Randomized Feasibility Trial to Increase Hydroxyurea Adherence, Suggests Improved Health-Related Quality of Life in Youths with Sickle Cell Disease","type":"article-journal","volume":"197"},"uris":["http://www.mendeley.com/documents/?uuid=3f443487-0fe5-44b0-a835-8a40d6cac0d2"]}],"mendeley":{"formattedCitation":"&lt;sup&gt;22&lt;/sup&gt;","plainTextFormattedCitation":"22","previouslyFormattedCitation":"&lt;sup&gt;22&lt;/sup&gt;"},"properties":{"noteIndex":0},"schema":"https://github.com/citation-style-language/schema/raw/master/csl-citation.json"}</w:instrText>
      </w:r>
      <w:r w:rsidR="00BE2E02" w:rsidRPr="000F1D8D">
        <w:rPr>
          <w:rFonts w:ascii="Arial" w:eastAsia="Arial" w:hAnsi="Arial" w:cs="Arial"/>
          <w:sz w:val="22"/>
          <w:szCs w:val="22"/>
          <w:vertAlign w:val="superscript"/>
        </w:rPr>
        <w:fldChar w:fldCharType="separate"/>
      </w:r>
      <w:r w:rsidR="00BE2E02" w:rsidRPr="000F1D8D">
        <w:rPr>
          <w:rFonts w:ascii="Arial" w:eastAsia="Arial" w:hAnsi="Arial" w:cs="Arial"/>
          <w:noProof/>
          <w:sz w:val="22"/>
          <w:szCs w:val="22"/>
          <w:vertAlign w:val="superscript"/>
        </w:rPr>
        <w:t>22</w:t>
      </w:r>
      <w:r w:rsidR="00BE2E02" w:rsidRPr="000F1D8D">
        <w:rPr>
          <w:rFonts w:ascii="Arial" w:eastAsia="Arial" w:hAnsi="Arial" w:cs="Arial"/>
          <w:sz w:val="22"/>
          <w:szCs w:val="22"/>
          <w:vertAlign w:val="superscript"/>
        </w:rPr>
        <w:fldChar w:fldCharType="end"/>
      </w:r>
      <w:r w:rsidR="00C42520" w:rsidRPr="000F1D8D">
        <w:rPr>
          <w:rFonts w:ascii="Arial" w:eastAsia="Arial" w:hAnsi="Arial" w:cs="Arial"/>
          <w:sz w:val="22"/>
          <w:szCs w:val="22"/>
          <w:vertAlign w:val="superscript"/>
        </w:rPr>
        <w:t>,</w:t>
      </w:r>
      <w:r w:rsidR="00865B20" w:rsidRPr="000F1D8D">
        <w:rPr>
          <w:rFonts w:ascii="Arial" w:eastAsia="Arial" w:hAnsi="Arial" w:cs="Arial"/>
          <w:sz w:val="22"/>
          <w:szCs w:val="22"/>
          <w:vertAlign w:val="superscript"/>
        </w:rPr>
        <w:fldChar w:fldCharType="begin" w:fldLock="1"/>
      </w:r>
      <w:r w:rsidR="00514A1C" w:rsidRPr="000F1D8D">
        <w:rPr>
          <w:rFonts w:ascii="Arial" w:eastAsia="Arial" w:hAnsi="Arial" w:cs="Arial"/>
          <w:sz w:val="22"/>
          <w:szCs w:val="22"/>
          <w:vertAlign w:val="superscript"/>
        </w:rPr>
        <w:instrText>ADDIN CSL_CITATION {"citationItems":[{"id":"ITEM-1","itemData":{"DOI":"10.1002/pbc.27081","ISSN":"15455017","PMID":"29693797","abstract":"Background: Adherence to illness self-management among youth with sickle cell disease (SCD) positively impacts health outcomes and decreases overall healthcare costs. Despite this, children with SCD face several barriers to adherence, with adherence rates that remain moderate to low. The current feasibility study examined the Intensive Training Program (ITP), a mobile health (mHealth) intervention for youth with SCD designed to promote disease knowledge, adherence, and patient-provider communication. Procedure: Youth with SCD prescribed hydroxyurea between ages 7–18 completed baseline disease knowledge and psychosocial assessments and then were provided with the ITP app. Youth participated in the 90-day ITP, during which they completed three education modules, tracked adherence through daily self-recorded videos on the app, and received video messages from providers. Participants completed poststudy knowledge, psychosocial, and feasibility questionnaires. Medication possession ratio (MPR) was obtained via pharmacy-refill rates. Results: Thirty-two youths (mean age = 13.0 years) participated, with an average adherence tracking rate of 0.6 (standard deviation = 0.34). All participants demonstrated increased MPR (0.57–0.74, P &lt; 0.001, d = 0.75) and disease knowledge (59.6–88.6%, P &lt; 0.001). There was variable engagement in the ITP; completers demonstrated significantly better SCD-related functioning (P &lt; 0.05), higher parent-reported treatment functioning (P &lt; 0.05), and lower pain impact than noncompleters of the ITP (P &lt; 0.05). Conclusions: Results support the ITP can feasibly be implemented to promote adherence among youth with SCD. All participants demonstrated increased adherence and disease knowledge. However, there was variable engagement and only intervention completers showed improvements in psychosocial outcomes. Further research is needed to evaluate long-term outcomes and ways to promote engagement in mHealth interventions among the youth.","author":[{"dropping-particle":"","family":"Anderson","given":"Lindsay M.","non-dropping-particle":"","parse-names":false,"suffix":""},{"dropping-particle":"","family":"Leonard","given":"Sarah","non-dropping-particle":"","parse-names":false,"suffix":""},{"dropping-particle":"","family":"Jonassaint","given":"Jude","non-dropping-particle":"","parse-names":false,"suffix":""},{"dropping-particle":"","family":"Lunyera","given":"Joseph","non-dropping-particle":"","parse-names":false,"suffix":""},{"dropping-particle":"","family":"Bonner","given":"Melanie","non-dropping-particle":"","parse-names":false,"suffix":""},{"dropping-particle":"","family":"Shah","given":"Nirmish","non-dropping-particle":"","parse-names":false,"suffix":""}],"container-title":"Pediatric Blood and Cancer","id":"ITEM-1","issue":"8","issued":{"date-parts":[["2018"]]},"page":"1-9","title":"Mobile health intervention for youth with sickle cell disease: Impact on adherence, disease knowledge, and quality of life","type":"article-journal","volume":"65"},"uris":["http://www.mendeley.com/documents/?uuid=c2ee3d56-34df-403b-9318-184467a9a8ca"]}],"mendeley":{"formattedCitation":"&lt;sup&gt;26&lt;/sup&gt;","plainTextFormattedCitation":"26","previouslyFormattedCitation":"&lt;sup&gt;26&lt;/sup&gt;"},"properties":{"noteIndex":0},"schema":"https://github.com/citation-style-language/schema/raw/master/csl-citation.json"}</w:instrText>
      </w:r>
      <w:r w:rsidR="00865B20" w:rsidRPr="000F1D8D">
        <w:rPr>
          <w:rFonts w:ascii="Arial" w:eastAsia="Arial" w:hAnsi="Arial" w:cs="Arial"/>
          <w:sz w:val="22"/>
          <w:szCs w:val="22"/>
          <w:vertAlign w:val="superscript"/>
        </w:rPr>
        <w:fldChar w:fldCharType="separate"/>
      </w:r>
      <w:r w:rsidR="00A92C0C" w:rsidRPr="000F1D8D">
        <w:rPr>
          <w:rFonts w:ascii="Arial" w:eastAsia="Arial" w:hAnsi="Arial" w:cs="Arial"/>
          <w:noProof/>
          <w:sz w:val="22"/>
          <w:szCs w:val="22"/>
          <w:vertAlign w:val="superscript"/>
        </w:rPr>
        <w:t>26</w:t>
      </w:r>
      <w:r w:rsidR="00865B20" w:rsidRPr="000F1D8D">
        <w:rPr>
          <w:rFonts w:ascii="Arial" w:eastAsia="Arial" w:hAnsi="Arial" w:cs="Arial"/>
          <w:sz w:val="22"/>
          <w:szCs w:val="22"/>
          <w:vertAlign w:val="superscript"/>
        </w:rPr>
        <w:fldChar w:fldCharType="end"/>
      </w:r>
      <w:r w:rsidR="00C42520" w:rsidRPr="000F1D8D">
        <w:rPr>
          <w:rFonts w:ascii="Arial" w:eastAsia="Arial" w:hAnsi="Arial" w:cs="Arial"/>
          <w:sz w:val="22"/>
          <w:szCs w:val="22"/>
          <w:vertAlign w:val="superscript"/>
        </w:rPr>
        <w:t>,</w:t>
      </w:r>
      <w:r w:rsidR="00620CF6" w:rsidRPr="000F1D8D">
        <w:rPr>
          <w:rFonts w:ascii="Arial" w:eastAsia="Arial" w:hAnsi="Arial" w:cs="Arial"/>
          <w:sz w:val="22"/>
          <w:szCs w:val="22"/>
          <w:vertAlign w:val="superscript"/>
        </w:rPr>
        <w:fldChar w:fldCharType="begin" w:fldLock="1"/>
      </w:r>
      <w:r w:rsidR="00514A1C" w:rsidRPr="000F1D8D">
        <w:rPr>
          <w:rFonts w:ascii="Arial" w:eastAsia="Arial" w:hAnsi="Arial" w:cs="Arial"/>
          <w:sz w:val="22"/>
          <w:szCs w:val="22"/>
          <w:vertAlign w:val="superscript"/>
        </w:rPr>
        <w:instrText>ADDIN CSL_CITATION {"citationItems":[{"id":"ITEM-1","itemData":{"DOI":"10.2196/13452","ISSN":"2291-5222","PMID":"31397291","abstract":"Background: Hydroxyurea is a disease-modifying medication for patients with sickle cell disease (SCD). Despite demonstrated efficacy, hydroxyurea nonadherence in clinical practice is common and results in worse health outcomes for nonadherent patients. Mobile Directly Observed Therapy (Mobile DOT) is a pilot-tested, electronic, multidimensional hydroxyurea adherence intervention for children with SCD. Mobile DOT includes sending daily text message reminders to patients to take hydroxyurea, patients recording and sending daily videos that capture their hydroxyurea administrations for the research team to review and track adherence, providing personalized feedback to patients about their adherence, and providing small monetary incentives to patients if they achieve high hydroxyurea adherence. Objective: This study aimed to determine if Mobile DOT increases hydroxyurea adherence in children with SCD and to explore its impact on hematologic and clinical outcomes. Methods: This was a single-arm, 6-month intervention study of patients with SCD on hydroxyurea who were aged ≤19 years and reported having access to an electronic device. Participants’ hydroxyurea adherence when they received Mobile DOT was compared with their adherence 6 months before and after receiving Mobile DOT. Participants’ medication possession ratio (MPR) was calculated from their pharmacy dispensing records and was used to measure adherence. Laboratory and clinical outcomes were abstracted from participants’ electronic medical records. Infrequently hospitalized patients who received at least 160 days of the intervention were considered to be engaged participants. Results: Of 91 patients who were approached, 55 enrolled and 34 engaged with Mobile DOT. The median age of the engaged participants was 10 years (range 2-18.8 years), and 21 (62%, 21/34) participants were male, 28 (82%, 21/34) had hemoglobin SS SCD, and 19 (56%, 19/34) were prescribed hydroxyurea for at least a year before enrollment. With Mobile DOT, engaged participants’ median MPR increased from 61.7% to 84.4% (P&lt;.001) and significantly more (67% vs 30%; P=.002) achieved ≥80% hydroxyurea adherence compared with baseline values. Engaged participants’ mean fetal hemoglobin (HgbF) levels and mean corpuscular volumes (MCV) improved significantly after 6 months of Mobile DOT (P=.04 and P=.001, respectively), but their adherence, HgbF levels, and MCV returned to baseline values during the 6 months after the intervention. Hospitaliza…","author":[{"dropping-particle":"","family":"Creary","given":"Susan","non-dropping-particle":"","parse-names":false,"suffix":""},{"dropping-particle":"","family":"Chisolm","given":"Deena","non-dropping-particle":"","parse-names":false,"suffix":""},{"dropping-particle":"","family":"Stanek","given":"Joseph","non-dropping-particle":"","parse-names":false,"suffix":""},{"dropping-particle":"","family":"Hankins","given":"Jane","non-dropping-particle":"","parse-names":false,"suffix":""},{"dropping-particle":"","family":"O'Brien","given":"Sarah H.","non-dropping-particle":"","parse-names":false,"suffix":""}],"container-title":"JMIR mHealth and uHealth","id":"ITEM-1","issue":"8","issued":{"date-parts":[["2019"]]},"publisher":"JMIR Mhealth Uhealth","title":"A Multidimensional Electronic Hydroxyurea Adherence Intervention for Children With Sickle Cell Disease: Single-Arm Before-After Study","type":"article-journal","volume":"7"},"uris":["http://www.mendeley.com/documents/?uuid=a52d0a61-dd1d-31a5-9d10-dc7c978b9fb3"]}],"mendeley":{"formattedCitation":"&lt;sup&gt;27&lt;/sup&gt;","plainTextFormattedCitation":"27","previouslyFormattedCitation":"&lt;sup&gt;27&lt;/sup&gt;"},"properties":{"noteIndex":0},"schema":"https://github.com/citation-style-language/schema/raw/master/csl-citation.json"}</w:instrText>
      </w:r>
      <w:r w:rsidR="00620CF6" w:rsidRPr="000F1D8D">
        <w:rPr>
          <w:rFonts w:ascii="Arial" w:eastAsia="Arial" w:hAnsi="Arial" w:cs="Arial"/>
          <w:sz w:val="22"/>
          <w:szCs w:val="22"/>
          <w:vertAlign w:val="superscript"/>
        </w:rPr>
        <w:fldChar w:fldCharType="separate"/>
      </w:r>
      <w:r w:rsidR="00A92C0C" w:rsidRPr="000F1D8D">
        <w:rPr>
          <w:rFonts w:ascii="Arial" w:eastAsia="Arial" w:hAnsi="Arial" w:cs="Arial"/>
          <w:noProof/>
          <w:sz w:val="22"/>
          <w:szCs w:val="22"/>
          <w:vertAlign w:val="superscript"/>
        </w:rPr>
        <w:t>27</w:t>
      </w:r>
      <w:r w:rsidR="00620CF6" w:rsidRPr="000F1D8D">
        <w:rPr>
          <w:rFonts w:ascii="Arial" w:eastAsia="Arial" w:hAnsi="Arial" w:cs="Arial"/>
          <w:sz w:val="22"/>
          <w:szCs w:val="22"/>
          <w:vertAlign w:val="superscript"/>
        </w:rPr>
        <w:fldChar w:fldCharType="end"/>
      </w:r>
      <w:r w:rsidRPr="000F1D8D">
        <w:rPr>
          <w:rFonts w:ascii="Arial" w:eastAsia="Arial" w:hAnsi="Arial" w:cs="Arial"/>
          <w:sz w:val="22"/>
          <w:szCs w:val="22"/>
        </w:rPr>
        <w:t xml:space="preserve">, with limited effect. </w:t>
      </w:r>
      <w:sdt>
        <w:sdtPr>
          <w:rPr>
            <w:rFonts w:ascii="Arial" w:hAnsi="Arial" w:cs="Arial"/>
            <w:sz w:val="22"/>
            <w:szCs w:val="22"/>
          </w:rPr>
          <w:tag w:val="goog_rdk_21"/>
          <w:id w:val="-1739549720"/>
        </w:sdtPr>
        <w:sdtEndPr/>
        <w:sdtContent/>
      </w:sdt>
      <w:r w:rsidRPr="000F1D8D">
        <w:rPr>
          <w:rFonts w:ascii="Arial" w:eastAsia="Arial" w:hAnsi="Arial" w:cs="Arial"/>
          <w:sz w:val="22"/>
          <w:szCs w:val="22"/>
        </w:rPr>
        <w:t xml:space="preserve">These approaches have highlighted the challenges associated with increasing adherence and the fact that significant gaps remain underexplored in delivering and administering different formulations of HU in the pediatric population. </w:t>
      </w:r>
    </w:p>
    <w:p w14:paraId="42139914" w14:textId="2299354C" w:rsidR="00A87D76" w:rsidRPr="000F1D8D" w:rsidRDefault="00A87D76" w:rsidP="00EE5008">
      <w:pPr>
        <w:spacing w:line="480" w:lineRule="auto"/>
        <w:ind w:firstLine="720"/>
        <w:jc w:val="both"/>
        <w:rPr>
          <w:rFonts w:ascii="Arial" w:eastAsia="Arial" w:hAnsi="Arial" w:cs="Arial"/>
          <w:sz w:val="22"/>
          <w:szCs w:val="22"/>
        </w:rPr>
      </w:pPr>
      <w:r w:rsidRPr="000F1D8D">
        <w:rPr>
          <w:rFonts w:ascii="Arial" w:eastAsia="Arial" w:hAnsi="Arial" w:cs="Arial"/>
          <w:sz w:val="22"/>
          <w:szCs w:val="22"/>
        </w:rPr>
        <w:t xml:space="preserve">Given these gaps, </w:t>
      </w:r>
      <w:sdt>
        <w:sdtPr>
          <w:rPr>
            <w:rFonts w:ascii="Arial" w:hAnsi="Arial" w:cs="Arial"/>
            <w:sz w:val="22"/>
            <w:szCs w:val="22"/>
          </w:rPr>
          <w:tag w:val="goog_rdk_23"/>
          <w:id w:val="-1255283742"/>
        </w:sdtPr>
        <w:sdtEndPr/>
        <w:sdtContent/>
      </w:sdt>
      <w:r w:rsidRPr="000F1D8D">
        <w:rPr>
          <w:rFonts w:ascii="Arial" w:eastAsia="Arial" w:hAnsi="Arial" w:cs="Arial"/>
          <w:sz w:val="22"/>
          <w:szCs w:val="22"/>
        </w:rPr>
        <w:t xml:space="preserve">a </w:t>
      </w:r>
      <w:sdt>
        <w:sdtPr>
          <w:rPr>
            <w:rFonts w:ascii="Arial" w:hAnsi="Arial" w:cs="Arial"/>
            <w:sz w:val="22"/>
            <w:szCs w:val="22"/>
          </w:rPr>
          <w:tag w:val="goog_rdk_24"/>
          <w:id w:val="-991482532"/>
        </w:sdtPr>
        <w:sdtEndPr/>
        <w:sdtContent/>
      </w:sdt>
      <w:r w:rsidRPr="000F1D8D">
        <w:rPr>
          <w:rFonts w:ascii="Arial" w:eastAsia="Arial" w:hAnsi="Arial" w:cs="Arial"/>
          <w:sz w:val="22"/>
          <w:szCs w:val="22"/>
        </w:rPr>
        <w:t>quality improvement project was established in 2016 at Boston Medical Center, an urban safety net hospital</w:t>
      </w:r>
      <w:r w:rsidRPr="000F1D8D">
        <w:rPr>
          <w:rFonts w:ascii="Arial" w:eastAsia="Arial" w:hAnsi="Arial" w:cs="Arial"/>
          <w:i/>
          <w:sz w:val="22"/>
          <w:szCs w:val="22"/>
        </w:rPr>
        <w:t xml:space="preserve">, </w:t>
      </w:r>
      <w:r w:rsidRPr="000F1D8D">
        <w:rPr>
          <w:rFonts w:ascii="Arial" w:eastAsia="Arial" w:hAnsi="Arial" w:cs="Arial"/>
          <w:sz w:val="22"/>
          <w:szCs w:val="22"/>
        </w:rPr>
        <w:t xml:space="preserve">to decrease barriers to the delivery and administration of HU. The program provided pediatric patients with at-home delivery of a compounded form of liquid HU (LHU) by coordinating with the in-house compounding pharmacy. </w:t>
      </w:r>
      <w:r w:rsidRPr="000F1D8D">
        <w:rPr>
          <w:rFonts w:ascii="Arial" w:eastAsia="Arial" w:hAnsi="Arial" w:cs="Arial"/>
          <w:sz w:val="22"/>
          <w:szCs w:val="22"/>
        </w:rPr>
        <w:lastRenderedPageBreak/>
        <w:t xml:space="preserve">These measures sought to improve adherence by decreasing barriers to obtaining HU, such as the inability to fill or pick up medications, and by providing HU in a liquid formulation, better tolerated by children than other HU formulations. </w:t>
      </w:r>
      <w:sdt>
        <w:sdtPr>
          <w:rPr>
            <w:rFonts w:ascii="Arial" w:hAnsi="Arial" w:cs="Arial"/>
            <w:sz w:val="22"/>
            <w:szCs w:val="22"/>
          </w:rPr>
          <w:tag w:val="goog_rdk_28"/>
          <w:id w:val="-2123599897"/>
        </w:sdtPr>
        <w:sdtEndPr/>
        <w:sdtContent/>
      </w:sdt>
      <w:r w:rsidRPr="000F1D8D">
        <w:rPr>
          <w:rFonts w:ascii="Arial" w:eastAsia="Arial" w:hAnsi="Arial" w:cs="Arial"/>
          <w:sz w:val="22"/>
          <w:szCs w:val="22"/>
        </w:rPr>
        <w:t xml:space="preserve">We hypothesized that adherence, laboratory values, and clinical events would improve due to decreasing barriers to access. Here, we retrospectively assess the outcomes of this project and show the program’s capacity to achieve high adherence rates. </w:t>
      </w:r>
    </w:p>
    <w:p w14:paraId="04E47454" w14:textId="77777777" w:rsidR="00A87D76" w:rsidRPr="000F1D8D" w:rsidRDefault="00A87D76" w:rsidP="00EE5008">
      <w:pPr>
        <w:spacing w:line="480" w:lineRule="auto"/>
        <w:jc w:val="both"/>
        <w:rPr>
          <w:rFonts w:ascii="Arial" w:eastAsia="Arial" w:hAnsi="Arial" w:cs="Arial"/>
          <w:sz w:val="22"/>
          <w:szCs w:val="22"/>
        </w:rPr>
      </w:pPr>
    </w:p>
    <w:p w14:paraId="4B4F68BF" w14:textId="77777777" w:rsidR="00A87D76" w:rsidRPr="000F1D8D" w:rsidRDefault="00A87D76" w:rsidP="00EE5008">
      <w:pPr>
        <w:spacing w:line="480" w:lineRule="auto"/>
        <w:jc w:val="both"/>
        <w:rPr>
          <w:rFonts w:ascii="Arial" w:eastAsia="Arial" w:hAnsi="Arial" w:cs="Arial"/>
          <w:b/>
          <w:sz w:val="22"/>
          <w:szCs w:val="22"/>
        </w:rPr>
      </w:pPr>
      <w:r w:rsidRPr="000F1D8D">
        <w:rPr>
          <w:rFonts w:ascii="Arial" w:eastAsia="Arial" w:hAnsi="Arial" w:cs="Arial"/>
          <w:b/>
          <w:sz w:val="22"/>
          <w:szCs w:val="22"/>
        </w:rPr>
        <w:t>Methods</w:t>
      </w:r>
    </w:p>
    <w:p w14:paraId="40724400" w14:textId="77777777" w:rsidR="00A87D76" w:rsidRPr="000F1D8D" w:rsidRDefault="00A87D76" w:rsidP="00EE5008">
      <w:pPr>
        <w:spacing w:line="480" w:lineRule="auto"/>
        <w:jc w:val="both"/>
        <w:rPr>
          <w:rFonts w:ascii="Arial" w:eastAsia="Arial" w:hAnsi="Arial" w:cs="Arial"/>
          <w:i/>
          <w:sz w:val="22"/>
          <w:szCs w:val="22"/>
        </w:rPr>
      </w:pPr>
      <w:r w:rsidRPr="000F1D8D">
        <w:rPr>
          <w:rFonts w:ascii="Arial" w:eastAsia="Arial" w:hAnsi="Arial" w:cs="Arial"/>
          <w:i/>
          <w:sz w:val="22"/>
          <w:szCs w:val="22"/>
        </w:rPr>
        <w:t>Study design and data collection.</w:t>
      </w:r>
    </w:p>
    <w:p w14:paraId="7AA77AF4" w14:textId="0A1171E2" w:rsidR="00A87D76" w:rsidRPr="000F1D8D" w:rsidRDefault="005452BF" w:rsidP="00EE5008">
      <w:pPr>
        <w:spacing w:line="480" w:lineRule="auto"/>
        <w:jc w:val="both"/>
        <w:rPr>
          <w:rFonts w:ascii="Arial" w:eastAsia="Arial" w:hAnsi="Arial" w:cs="Arial"/>
          <w:sz w:val="22"/>
          <w:szCs w:val="22"/>
        </w:rPr>
      </w:pPr>
      <w:sdt>
        <w:sdtPr>
          <w:rPr>
            <w:rFonts w:ascii="Arial" w:hAnsi="Arial" w:cs="Arial"/>
            <w:sz w:val="22"/>
            <w:szCs w:val="22"/>
          </w:rPr>
          <w:tag w:val="goog_rdk_33"/>
          <w:id w:val="461160706"/>
        </w:sdtPr>
        <w:sdtEndPr/>
        <w:sdtContent>
          <w:r w:rsidR="00A87D76" w:rsidRPr="000F1D8D">
            <w:rPr>
              <w:rFonts w:ascii="Arial" w:eastAsia="Arial" w:hAnsi="Arial" w:cs="Arial"/>
              <w:sz w:val="22"/>
              <w:szCs w:val="22"/>
            </w:rPr>
            <w:t>Our study was</w:t>
          </w:r>
        </w:sdtContent>
      </w:sdt>
      <w:r w:rsidR="00A87D76" w:rsidRPr="000F1D8D">
        <w:rPr>
          <w:rFonts w:ascii="Arial" w:eastAsia="Arial" w:hAnsi="Arial" w:cs="Arial"/>
          <w:sz w:val="22"/>
          <w:szCs w:val="22"/>
        </w:rPr>
        <w:t xml:space="preserve"> </w:t>
      </w:r>
      <w:r w:rsidR="00A87D76" w:rsidRPr="000F1D8D">
        <w:rPr>
          <w:rFonts w:ascii="Arial" w:hAnsi="Arial" w:cs="Arial"/>
          <w:sz w:val="22"/>
          <w:szCs w:val="22"/>
        </w:rPr>
        <w:t>IRB-exempt</w:t>
      </w:r>
      <w:r w:rsidR="00A87D76" w:rsidRPr="000F1D8D">
        <w:rPr>
          <w:rFonts w:ascii="Arial" w:eastAsia="Arial" w:hAnsi="Arial" w:cs="Arial"/>
          <w:sz w:val="22"/>
          <w:szCs w:val="22"/>
        </w:rPr>
        <w:t xml:space="preserve"> per </w:t>
      </w:r>
      <w:sdt>
        <w:sdtPr>
          <w:rPr>
            <w:rFonts w:ascii="Arial" w:hAnsi="Arial" w:cs="Arial"/>
            <w:sz w:val="22"/>
            <w:szCs w:val="22"/>
          </w:rPr>
          <w:tag w:val="goog_rdk_35"/>
          <w:id w:val="66784559"/>
        </w:sdtPr>
        <w:sdtEndPr/>
        <w:sdtContent>
          <w:r w:rsidR="00A87D76" w:rsidRPr="000F1D8D">
            <w:rPr>
              <w:rFonts w:ascii="Arial" w:eastAsia="Arial" w:hAnsi="Arial" w:cs="Arial"/>
              <w:sz w:val="22"/>
              <w:szCs w:val="22"/>
            </w:rPr>
            <w:t xml:space="preserve">the </w:t>
          </w:r>
        </w:sdtContent>
      </w:sdt>
      <w:r w:rsidR="00A87D76" w:rsidRPr="000F1D8D">
        <w:rPr>
          <w:rFonts w:ascii="Arial" w:eastAsia="Arial" w:hAnsi="Arial" w:cs="Arial"/>
          <w:sz w:val="22"/>
          <w:szCs w:val="22"/>
        </w:rPr>
        <w:t xml:space="preserve">Boston </w:t>
      </w:r>
      <w:sdt>
        <w:sdtPr>
          <w:rPr>
            <w:rFonts w:ascii="Arial" w:hAnsi="Arial" w:cs="Arial"/>
            <w:sz w:val="22"/>
            <w:szCs w:val="22"/>
          </w:rPr>
          <w:tag w:val="goog_rdk_36"/>
          <w:id w:val="327571915"/>
        </w:sdtPr>
        <w:sdtEndPr/>
        <w:sdtContent>
          <w:r w:rsidR="00A87D76" w:rsidRPr="000F1D8D">
            <w:rPr>
              <w:rFonts w:ascii="Arial" w:eastAsia="Arial" w:hAnsi="Arial" w:cs="Arial"/>
              <w:sz w:val="22"/>
              <w:szCs w:val="22"/>
            </w:rPr>
            <w:t xml:space="preserve">University </w:t>
          </w:r>
        </w:sdtContent>
      </w:sdt>
      <w:r w:rsidR="00A87D76" w:rsidRPr="000F1D8D">
        <w:rPr>
          <w:rFonts w:ascii="Arial" w:eastAsia="Arial" w:hAnsi="Arial" w:cs="Arial"/>
          <w:sz w:val="22"/>
          <w:szCs w:val="22"/>
        </w:rPr>
        <w:t xml:space="preserve">Medical Center IRB. Data </w:t>
      </w:r>
      <w:r w:rsidR="00C42520" w:rsidRPr="000F1D8D">
        <w:rPr>
          <w:rFonts w:ascii="Arial" w:eastAsia="Arial" w:hAnsi="Arial" w:cs="Arial"/>
          <w:sz w:val="22"/>
          <w:szCs w:val="22"/>
        </w:rPr>
        <w:t>was</w:t>
      </w:r>
      <w:r w:rsidR="00A87D76" w:rsidRPr="000F1D8D">
        <w:rPr>
          <w:rFonts w:ascii="Arial" w:eastAsia="Arial" w:hAnsi="Arial" w:cs="Arial"/>
          <w:sz w:val="22"/>
          <w:szCs w:val="22"/>
        </w:rPr>
        <w:t xml:space="preserve"> collected and </w:t>
      </w:r>
      <w:proofErr w:type="gramStart"/>
      <w:r w:rsidR="00A87D76" w:rsidRPr="000F1D8D">
        <w:rPr>
          <w:rFonts w:ascii="Arial" w:eastAsia="Arial" w:hAnsi="Arial" w:cs="Arial"/>
          <w:sz w:val="22"/>
          <w:szCs w:val="22"/>
        </w:rPr>
        <w:t>deidentified</w:t>
      </w:r>
      <w:proofErr w:type="gramEnd"/>
      <w:r w:rsidR="00A87D76" w:rsidRPr="000F1D8D">
        <w:rPr>
          <w:rFonts w:ascii="Arial" w:eastAsia="Arial" w:hAnsi="Arial" w:cs="Arial"/>
          <w:sz w:val="22"/>
          <w:szCs w:val="22"/>
        </w:rPr>
        <w:t xml:space="preserve"> by the authors after individual chart reviews. Data collected included demographics (sex, genotype, age, height, weight), laboratory values (fetal hemoglobin, total hemoglobin, absolute neutrophil count, mean corpuscular volume, reticulocyte count, bilirubin), pharmacological data (maximum dose of LHU tolerated, refill dates and periods), clinical outcomes (number of hospitalizations, number of emergency department (ED) visits, number of outpatient visits, instances of ACS and VOE), and patient and parent experiences. </w:t>
      </w:r>
    </w:p>
    <w:p w14:paraId="0624E35F" w14:textId="3EACE986" w:rsidR="00A87D76" w:rsidRPr="000F1D8D" w:rsidRDefault="00A87D76" w:rsidP="00EE5008">
      <w:pPr>
        <w:spacing w:line="480" w:lineRule="auto"/>
        <w:ind w:firstLine="720"/>
        <w:jc w:val="both"/>
        <w:rPr>
          <w:rFonts w:ascii="Arial" w:eastAsia="Arial" w:hAnsi="Arial" w:cs="Arial"/>
          <w:sz w:val="22"/>
          <w:szCs w:val="22"/>
        </w:rPr>
      </w:pPr>
      <w:r w:rsidRPr="000F1D8D">
        <w:rPr>
          <w:rFonts w:ascii="Arial" w:eastAsia="Arial" w:hAnsi="Arial" w:cs="Arial"/>
          <w:sz w:val="22"/>
          <w:szCs w:val="22"/>
        </w:rPr>
        <w:t xml:space="preserve">Pre-laboratory values were collected on a date close to the LHU start date. Post-laboratory values were collected at least three months after the LHU start date and did not exceed one year after the date of initiation. Values were aggregated, averaged, and compared in the pre-and post-period. </w:t>
      </w:r>
    </w:p>
    <w:p w14:paraId="50336962" w14:textId="0A2CED01" w:rsidR="00A87D76" w:rsidRPr="000F1D8D" w:rsidRDefault="00A87D76" w:rsidP="00EE5008">
      <w:pPr>
        <w:spacing w:line="480" w:lineRule="auto"/>
        <w:ind w:firstLine="720"/>
        <w:jc w:val="both"/>
        <w:rPr>
          <w:rFonts w:ascii="Arial" w:eastAsia="Arial" w:hAnsi="Arial" w:cs="Arial"/>
          <w:sz w:val="22"/>
          <w:szCs w:val="22"/>
        </w:rPr>
      </w:pPr>
      <w:r w:rsidRPr="000F1D8D">
        <w:rPr>
          <w:rFonts w:ascii="Arial" w:eastAsia="Arial" w:hAnsi="Arial" w:cs="Arial"/>
          <w:sz w:val="22"/>
          <w:szCs w:val="22"/>
        </w:rPr>
        <w:t xml:space="preserve">Healthcare utilization values for hospitalizations, ACS episodes, VOEs, and outpatient visits were collected one year before and one year after the LHU start date. The average number of visits in the pre-and post-period (visits per year) was calculated and compared. </w:t>
      </w:r>
    </w:p>
    <w:p w14:paraId="5F5EC571" w14:textId="3ACBD38D" w:rsidR="00A87D76" w:rsidRPr="000F1D8D" w:rsidRDefault="00A87D76" w:rsidP="00EE5008">
      <w:pPr>
        <w:spacing w:line="480" w:lineRule="auto"/>
        <w:ind w:firstLine="720"/>
        <w:jc w:val="both"/>
        <w:rPr>
          <w:rFonts w:ascii="Arial" w:eastAsia="Arial" w:hAnsi="Arial" w:cs="Arial"/>
          <w:sz w:val="22"/>
          <w:szCs w:val="22"/>
        </w:rPr>
      </w:pPr>
      <w:r w:rsidRPr="000F1D8D">
        <w:rPr>
          <w:rFonts w:ascii="Arial" w:eastAsia="Arial" w:hAnsi="Arial" w:cs="Arial"/>
          <w:sz w:val="22"/>
          <w:szCs w:val="22"/>
        </w:rPr>
        <w:t xml:space="preserve">Patient experiences were collected through individual reviews of Hematology notes, and responses regarding the program from providers and patients were recorded and aggregated. Pharmacy data were used to calculate the proportion of days covered (PDC). The PDC is </w:t>
      </w:r>
      <w:proofErr w:type="gramStart"/>
      <w:r w:rsidRPr="000F1D8D">
        <w:rPr>
          <w:rFonts w:ascii="Arial" w:eastAsia="Arial" w:hAnsi="Arial" w:cs="Arial"/>
          <w:sz w:val="22"/>
          <w:szCs w:val="22"/>
        </w:rPr>
        <w:t xml:space="preserve">similar </w:t>
      </w:r>
      <w:r w:rsidRPr="000F1D8D">
        <w:rPr>
          <w:rFonts w:ascii="Arial" w:eastAsia="Arial" w:hAnsi="Arial" w:cs="Arial"/>
          <w:sz w:val="22"/>
          <w:szCs w:val="22"/>
        </w:rPr>
        <w:lastRenderedPageBreak/>
        <w:t>to</w:t>
      </w:r>
      <w:proofErr w:type="gramEnd"/>
      <w:r w:rsidRPr="000F1D8D">
        <w:rPr>
          <w:rFonts w:ascii="Arial" w:eastAsia="Arial" w:hAnsi="Arial" w:cs="Arial"/>
          <w:sz w:val="22"/>
          <w:szCs w:val="22"/>
        </w:rPr>
        <w:t xml:space="preserve"> the medication possession ratio but removes overlapping days between prescription refills, thus preventing inflated adherence measures. PDC was </w:t>
      </w:r>
      <w:r w:rsidRPr="000F1D8D">
        <w:rPr>
          <w:rFonts w:ascii="Arial" w:hAnsi="Arial" w:cs="Arial"/>
          <w:color w:val="000000" w:themeColor="text1"/>
          <w:sz w:val="22"/>
          <w:szCs w:val="22"/>
          <w:shd w:val="clear" w:color="auto" w:fill="FFFFFF"/>
        </w:rPr>
        <w:t xml:space="preserve">calculated as (sum of days covered in the period of investigation) ÷ (number of days in the period of the inquiry) × 100. </w:t>
      </w:r>
      <w:r w:rsidRPr="000F1D8D">
        <w:rPr>
          <w:rFonts w:ascii="Arial" w:eastAsia="Arial" w:hAnsi="Arial" w:cs="Arial"/>
          <w:sz w:val="22"/>
          <w:szCs w:val="22"/>
        </w:rPr>
        <w:t>Electronic health records of patients with a PDC&lt;0.6 were reviewed to identify whether the gaps represented true non-adherence or appropriate treatment.</w:t>
      </w:r>
    </w:p>
    <w:p w14:paraId="51C96F05" w14:textId="77777777" w:rsidR="00A87D76" w:rsidRPr="000F1D8D" w:rsidRDefault="00A87D76" w:rsidP="00EE5008">
      <w:pPr>
        <w:spacing w:line="480" w:lineRule="auto"/>
        <w:jc w:val="both"/>
        <w:rPr>
          <w:rFonts w:ascii="Arial" w:eastAsia="Arial" w:hAnsi="Arial" w:cs="Arial"/>
          <w:sz w:val="22"/>
          <w:szCs w:val="22"/>
        </w:rPr>
      </w:pPr>
      <w:r w:rsidRPr="000F1D8D">
        <w:rPr>
          <w:rFonts w:ascii="Arial" w:eastAsia="Arial" w:hAnsi="Arial" w:cs="Arial"/>
          <w:i/>
          <w:sz w:val="22"/>
          <w:szCs w:val="22"/>
        </w:rPr>
        <w:t>Data analysis</w:t>
      </w:r>
    </w:p>
    <w:p w14:paraId="37B4ED08" w14:textId="77777777" w:rsidR="00A87D76" w:rsidRPr="000F1D8D" w:rsidRDefault="00A87D76" w:rsidP="00EE5008">
      <w:pPr>
        <w:spacing w:line="480" w:lineRule="auto"/>
        <w:jc w:val="both"/>
        <w:rPr>
          <w:rFonts w:ascii="Arial" w:eastAsia="Arial" w:hAnsi="Arial" w:cs="Arial"/>
          <w:sz w:val="22"/>
          <w:szCs w:val="22"/>
        </w:rPr>
      </w:pPr>
      <w:r w:rsidRPr="000F1D8D">
        <w:rPr>
          <w:rFonts w:ascii="Arial" w:eastAsia="Arial" w:hAnsi="Arial" w:cs="Arial"/>
          <w:sz w:val="22"/>
          <w:szCs w:val="22"/>
        </w:rPr>
        <w:t xml:space="preserve">Pre- and post-LHU growth, laboratory, and hospital utilization data were analyzed using a two-tailed t-test. Data analysis was done using GraphPad Prism version 9.1.0. LHU prescribing information was obtained from the Boston Medical Center pharmacy. </w:t>
      </w:r>
    </w:p>
    <w:p w14:paraId="32F61A0F" w14:textId="77777777" w:rsidR="00A87D76" w:rsidRPr="000F1D8D" w:rsidRDefault="00A87D76" w:rsidP="00EE5008">
      <w:pPr>
        <w:spacing w:line="480" w:lineRule="auto"/>
        <w:jc w:val="both"/>
        <w:rPr>
          <w:rFonts w:ascii="Arial" w:eastAsia="Arial" w:hAnsi="Arial" w:cs="Arial"/>
          <w:sz w:val="22"/>
          <w:szCs w:val="22"/>
        </w:rPr>
      </w:pPr>
    </w:p>
    <w:p w14:paraId="2652763C" w14:textId="77777777" w:rsidR="00A87D76" w:rsidRPr="000F1D8D" w:rsidRDefault="00A87D76" w:rsidP="00EE5008">
      <w:pPr>
        <w:spacing w:line="480" w:lineRule="auto"/>
        <w:jc w:val="both"/>
        <w:rPr>
          <w:rFonts w:ascii="Arial" w:eastAsia="Arial" w:hAnsi="Arial" w:cs="Arial"/>
          <w:b/>
          <w:sz w:val="22"/>
          <w:szCs w:val="22"/>
        </w:rPr>
      </w:pPr>
      <w:r w:rsidRPr="000F1D8D">
        <w:rPr>
          <w:rFonts w:ascii="Arial" w:eastAsia="Arial" w:hAnsi="Arial" w:cs="Arial"/>
          <w:b/>
          <w:sz w:val="22"/>
          <w:szCs w:val="22"/>
        </w:rPr>
        <w:t>Results</w:t>
      </w:r>
    </w:p>
    <w:p w14:paraId="448EABE5" w14:textId="77777777" w:rsidR="00A87D76" w:rsidRPr="000F1D8D" w:rsidRDefault="00A87D76" w:rsidP="00EE5008">
      <w:pPr>
        <w:spacing w:line="480" w:lineRule="auto"/>
        <w:jc w:val="both"/>
        <w:rPr>
          <w:rFonts w:ascii="Arial" w:eastAsia="Arial" w:hAnsi="Arial" w:cs="Arial"/>
          <w:i/>
          <w:sz w:val="22"/>
          <w:szCs w:val="22"/>
        </w:rPr>
      </w:pPr>
      <w:r w:rsidRPr="000F1D8D">
        <w:rPr>
          <w:rFonts w:ascii="Arial" w:eastAsia="Arial" w:hAnsi="Arial" w:cs="Arial"/>
          <w:i/>
          <w:sz w:val="22"/>
          <w:szCs w:val="22"/>
        </w:rPr>
        <w:t>Study design and patient population.</w:t>
      </w:r>
    </w:p>
    <w:p w14:paraId="306550B3" w14:textId="3C37E769" w:rsidR="00A87D76" w:rsidRPr="000F1D8D" w:rsidRDefault="00A87D76" w:rsidP="00EE5008">
      <w:pPr>
        <w:spacing w:line="480" w:lineRule="auto"/>
        <w:jc w:val="both"/>
        <w:rPr>
          <w:rFonts w:ascii="Arial" w:eastAsia="Arial" w:hAnsi="Arial" w:cs="Arial"/>
          <w:sz w:val="22"/>
          <w:szCs w:val="22"/>
        </w:rPr>
      </w:pPr>
      <w:r w:rsidRPr="000F1D8D">
        <w:rPr>
          <w:rFonts w:ascii="Arial" w:eastAsia="Arial" w:hAnsi="Arial" w:cs="Arial"/>
          <w:sz w:val="22"/>
          <w:szCs w:val="22"/>
        </w:rPr>
        <w:t>A retrospective chart review was conducted on 59 patients in the LHU delivery program from March 2016 to July 2020. Eighteen were excluded because they were older than 21 years at the start of LHU, had confounding factors related to the COVID-19 pandemic, had HU prescribed through other pharmacies, or had unobtainable data (</w:t>
      </w:r>
      <w:r w:rsidRPr="000F1D8D">
        <w:rPr>
          <w:rFonts w:ascii="Arial" w:eastAsia="Arial" w:hAnsi="Arial" w:cs="Arial"/>
          <w:b/>
          <w:bCs/>
          <w:sz w:val="22"/>
          <w:szCs w:val="22"/>
        </w:rPr>
        <w:t>Supplementary Figure 1</w:t>
      </w:r>
      <w:r w:rsidR="00522AE9" w:rsidRPr="000F1D8D">
        <w:rPr>
          <w:rFonts w:ascii="Arial" w:eastAsia="Arial" w:hAnsi="Arial" w:cs="Arial"/>
          <w:b/>
          <w:bCs/>
          <w:sz w:val="22"/>
          <w:szCs w:val="22"/>
        </w:rPr>
        <w:t>, Supplementary Table 1</w:t>
      </w:r>
      <w:r w:rsidRPr="000F1D8D">
        <w:rPr>
          <w:rFonts w:ascii="Arial" w:eastAsia="Arial" w:hAnsi="Arial" w:cs="Arial"/>
          <w:sz w:val="22"/>
          <w:szCs w:val="22"/>
        </w:rPr>
        <w:t xml:space="preserve">). </w:t>
      </w:r>
    </w:p>
    <w:p w14:paraId="39D5BB12" w14:textId="743D5C5D" w:rsidR="00A87D76" w:rsidRPr="000F1D8D" w:rsidRDefault="00A87D76" w:rsidP="00EE5008">
      <w:pPr>
        <w:spacing w:line="480" w:lineRule="auto"/>
        <w:ind w:firstLine="720"/>
        <w:jc w:val="both"/>
        <w:rPr>
          <w:rFonts w:ascii="Arial" w:eastAsia="Arial" w:hAnsi="Arial" w:cs="Arial"/>
          <w:sz w:val="22"/>
          <w:szCs w:val="22"/>
        </w:rPr>
      </w:pPr>
      <w:r w:rsidRPr="000F1D8D">
        <w:rPr>
          <w:rFonts w:ascii="Arial" w:eastAsia="Arial" w:hAnsi="Arial" w:cs="Arial"/>
          <w:sz w:val="22"/>
          <w:szCs w:val="22"/>
        </w:rPr>
        <w:t>Forty-one patients were included in the data analysis (</w:t>
      </w:r>
      <w:r w:rsidRPr="000F1D8D">
        <w:rPr>
          <w:rFonts w:ascii="Arial" w:eastAsia="Arial" w:hAnsi="Arial" w:cs="Arial"/>
          <w:b/>
          <w:bCs/>
          <w:sz w:val="22"/>
          <w:szCs w:val="22"/>
        </w:rPr>
        <w:t>Table 1</w:t>
      </w:r>
      <w:r w:rsidRPr="000F1D8D">
        <w:rPr>
          <w:rFonts w:ascii="Arial" w:eastAsia="Arial" w:hAnsi="Arial" w:cs="Arial"/>
          <w:sz w:val="22"/>
          <w:szCs w:val="22"/>
        </w:rPr>
        <w:t xml:space="preserve">). The genotypes included were </w:t>
      </w:r>
      <w:proofErr w:type="spellStart"/>
      <w:r w:rsidRPr="000F1D8D">
        <w:rPr>
          <w:rFonts w:ascii="Arial" w:eastAsia="Arial" w:hAnsi="Arial" w:cs="Arial"/>
          <w:sz w:val="22"/>
          <w:szCs w:val="22"/>
        </w:rPr>
        <w:t>HbSS</w:t>
      </w:r>
      <w:proofErr w:type="spellEnd"/>
      <w:r w:rsidRPr="000F1D8D">
        <w:rPr>
          <w:rFonts w:ascii="Arial" w:eastAsia="Arial" w:hAnsi="Arial" w:cs="Arial"/>
          <w:sz w:val="22"/>
          <w:szCs w:val="22"/>
        </w:rPr>
        <w:t xml:space="preserve"> (n=39), HgSB</w:t>
      </w:r>
      <w:r w:rsidRPr="000F1D8D">
        <w:rPr>
          <w:rFonts w:ascii="Arial" w:eastAsia="Arial" w:hAnsi="Arial" w:cs="Arial"/>
          <w:sz w:val="22"/>
          <w:szCs w:val="22"/>
          <w:vertAlign w:val="superscript"/>
        </w:rPr>
        <w:t>0</w:t>
      </w:r>
      <w:r w:rsidRPr="000F1D8D">
        <w:rPr>
          <w:rFonts w:ascii="Arial" w:eastAsia="Arial" w:hAnsi="Arial" w:cs="Arial"/>
          <w:sz w:val="22"/>
          <w:szCs w:val="22"/>
        </w:rPr>
        <w:t xml:space="preserve">thalassemia (n=1), and </w:t>
      </w:r>
      <w:sdt>
        <w:sdtPr>
          <w:rPr>
            <w:rFonts w:ascii="Arial" w:hAnsi="Arial" w:cs="Arial"/>
            <w:sz w:val="22"/>
            <w:szCs w:val="22"/>
          </w:rPr>
          <w:tag w:val="goog_rdk_50"/>
          <w:id w:val="1012959755"/>
        </w:sdtPr>
        <w:sdtEndPr/>
        <w:sdtContent>
          <w:proofErr w:type="spellStart"/>
          <w:r w:rsidRPr="000F1D8D">
            <w:rPr>
              <w:rFonts w:ascii="Arial" w:eastAsia="Arial" w:hAnsi="Arial" w:cs="Arial"/>
              <w:sz w:val="22"/>
              <w:szCs w:val="22"/>
            </w:rPr>
            <w:t>HbSC</w:t>
          </w:r>
          <w:proofErr w:type="spellEnd"/>
          <w:r w:rsidRPr="000F1D8D">
            <w:rPr>
              <w:rFonts w:ascii="Arial" w:eastAsia="Arial" w:hAnsi="Arial" w:cs="Arial"/>
              <w:sz w:val="22"/>
              <w:szCs w:val="22"/>
            </w:rPr>
            <w:t xml:space="preserve"> (n=1)</w:t>
          </w:r>
        </w:sdtContent>
      </w:sdt>
      <w:r w:rsidRPr="000F1D8D">
        <w:rPr>
          <w:rFonts w:ascii="Arial" w:eastAsia="Arial" w:hAnsi="Arial" w:cs="Arial"/>
          <w:sz w:val="22"/>
          <w:szCs w:val="22"/>
        </w:rPr>
        <w:t>. Sex distribution was equal (male 49%, female 51%). The median age at the time of LHU initiation was two years (IQR 0.75-5.5), with patients’ start age ranging from 0.75 (i.e., nine months) to 21 years. Of the 41 patients, 34% had prior HU exposure; 63% initiated LHU use through the Boston Medical Center pharmacy and had no prior HU exposure. The median HU dose tolerated was 22</w:t>
      </w:r>
      <w:sdt>
        <w:sdtPr>
          <w:rPr>
            <w:rFonts w:ascii="Arial" w:hAnsi="Arial" w:cs="Arial"/>
            <w:sz w:val="22"/>
            <w:szCs w:val="22"/>
          </w:rPr>
          <w:tag w:val="goog_rdk_54"/>
          <w:id w:val="-177354262"/>
        </w:sdtPr>
        <w:sdtEndPr/>
        <w:sdtContent>
          <w:r w:rsidRPr="000F1D8D">
            <w:rPr>
              <w:rFonts w:ascii="Arial" w:eastAsia="Arial" w:hAnsi="Arial" w:cs="Arial"/>
              <w:sz w:val="22"/>
              <w:szCs w:val="22"/>
            </w:rPr>
            <w:t>mg/kg/day</w:t>
          </w:r>
        </w:sdtContent>
      </w:sdt>
      <w:r w:rsidRPr="000F1D8D">
        <w:rPr>
          <w:rFonts w:ascii="Arial" w:eastAsia="Arial" w:hAnsi="Arial" w:cs="Arial"/>
          <w:sz w:val="22"/>
          <w:szCs w:val="22"/>
        </w:rPr>
        <w:t xml:space="preserve"> (IQR 20-28.5), ranging from 15 to 36 mg/kg/day. </w:t>
      </w:r>
    </w:p>
    <w:p w14:paraId="5776656C" w14:textId="26D13EA1" w:rsidR="00A87D76" w:rsidRPr="000F1D8D" w:rsidRDefault="00A87D76" w:rsidP="00EE5008">
      <w:pPr>
        <w:spacing w:line="480" w:lineRule="auto"/>
        <w:jc w:val="both"/>
        <w:rPr>
          <w:rFonts w:ascii="Arial" w:eastAsia="Arial" w:hAnsi="Arial" w:cs="Arial"/>
          <w:i/>
          <w:iCs/>
          <w:sz w:val="22"/>
          <w:szCs w:val="22"/>
        </w:rPr>
      </w:pPr>
      <w:r w:rsidRPr="000F1D8D">
        <w:rPr>
          <w:rFonts w:ascii="Arial" w:hAnsi="Arial" w:cs="Arial"/>
          <w:i/>
          <w:iCs/>
          <w:sz w:val="22"/>
          <w:szCs w:val="22"/>
        </w:rPr>
        <w:t>The proportion</w:t>
      </w:r>
      <w:r w:rsidRPr="000F1D8D">
        <w:rPr>
          <w:rFonts w:ascii="Arial" w:eastAsia="Arial" w:hAnsi="Arial" w:cs="Arial"/>
          <w:i/>
          <w:iCs/>
          <w:sz w:val="22"/>
          <w:szCs w:val="22"/>
        </w:rPr>
        <w:t xml:space="preserve"> of days covered. </w:t>
      </w:r>
    </w:p>
    <w:p w14:paraId="741DCFCD" w14:textId="33169122" w:rsidR="00A87D76" w:rsidRPr="000F1D8D" w:rsidRDefault="00A87D76" w:rsidP="00EE5008">
      <w:pPr>
        <w:spacing w:line="480" w:lineRule="auto"/>
        <w:jc w:val="both"/>
        <w:rPr>
          <w:rFonts w:ascii="Arial" w:eastAsia="Arial" w:hAnsi="Arial" w:cs="Arial"/>
          <w:sz w:val="22"/>
          <w:szCs w:val="22"/>
        </w:rPr>
      </w:pPr>
      <w:r w:rsidRPr="000F1D8D">
        <w:rPr>
          <w:rFonts w:ascii="Arial" w:eastAsia="Arial" w:hAnsi="Arial" w:cs="Arial"/>
          <w:sz w:val="22"/>
          <w:szCs w:val="22"/>
        </w:rPr>
        <w:lastRenderedPageBreak/>
        <w:t>The median PDC was 0.94 (IQR, 0.91-0.99) at the time laboratory values were collected and 0.95 (IQR 0.91-0.99) one year after the initiation of LHU (</w:t>
      </w:r>
      <w:r w:rsidRPr="000F1D8D">
        <w:rPr>
          <w:rFonts w:ascii="Arial" w:eastAsia="Arial" w:hAnsi="Arial" w:cs="Arial"/>
          <w:b/>
          <w:bCs/>
          <w:sz w:val="22"/>
          <w:szCs w:val="22"/>
        </w:rPr>
        <w:t>Fig</w:t>
      </w:r>
      <w:r w:rsidR="00522AE9" w:rsidRPr="000F1D8D">
        <w:rPr>
          <w:rFonts w:ascii="Arial" w:eastAsia="Arial" w:hAnsi="Arial" w:cs="Arial"/>
          <w:b/>
          <w:bCs/>
          <w:sz w:val="22"/>
          <w:szCs w:val="22"/>
        </w:rPr>
        <w:t>ure</w:t>
      </w:r>
      <w:r w:rsidRPr="000F1D8D">
        <w:rPr>
          <w:rFonts w:ascii="Arial" w:eastAsia="Arial" w:hAnsi="Arial" w:cs="Arial"/>
          <w:b/>
          <w:bCs/>
          <w:sz w:val="22"/>
          <w:szCs w:val="22"/>
        </w:rPr>
        <w:t xml:space="preserve"> 1A, </w:t>
      </w:r>
      <w:r w:rsidR="00522AE9" w:rsidRPr="000F1D8D">
        <w:rPr>
          <w:rFonts w:ascii="Arial" w:eastAsia="Arial" w:hAnsi="Arial" w:cs="Arial"/>
          <w:b/>
          <w:bCs/>
          <w:sz w:val="22"/>
          <w:szCs w:val="22"/>
        </w:rPr>
        <w:t>1</w:t>
      </w:r>
      <w:r w:rsidRPr="000F1D8D">
        <w:rPr>
          <w:rFonts w:ascii="Arial" w:eastAsia="Arial" w:hAnsi="Arial" w:cs="Arial"/>
          <w:b/>
          <w:bCs/>
          <w:sz w:val="22"/>
          <w:szCs w:val="22"/>
        </w:rPr>
        <w:t>B</w:t>
      </w:r>
      <w:r w:rsidRPr="000F1D8D">
        <w:rPr>
          <w:rFonts w:ascii="Arial" w:eastAsia="Arial" w:hAnsi="Arial" w:cs="Arial"/>
          <w:sz w:val="22"/>
          <w:szCs w:val="22"/>
        </w:rPr>
        <w:t>). Upon review of the 1-year post-initiation data, one patient’s PDC denominator was adjusted because appropriate treatment gaps were identified. After accounting for appropriate therapy gaps, the final median PDC was 0.95 (IQR 0.91-0.99).</w:t>
      </w:r>
    </w:p>
    <w:p w14:paraId="36B9D712" w14:textId="77777777" w:rsidR="00A87D76" w:rsidRPr="000F1D8D" w:rsidRDefault="00A87D76" w:rsidP="00EE5008">
      <w:pPr>
        <w:spacing w:line="480" w:lineRule="auto"/>
        <w:jc w:val="both"/>
        <w:rPr>
          <w:rFonts w:ascii="Arial" w:eastAsia="Arial" w:hAnsi="Arial" w:cs="Arial"/>
          <w:i/>
          <w:sz w:val="22"/>
          <w:szCs w:val="22"/>
        </w:rPr>
      </w:pPr>
      <w:r w:rsidRPr="000F1D8D">
        <w:rPr>
          <w:rFonts w:ascii="Arial" w:eastAsia="Arial" w:hAnsi="Arial" w:cs="Arial"/>
          <w:i/>
          <w:sz w:val="22"/>
          <w:szCs w:val="22"/>
        </w:rPr>
        <w:t>Laboratory value outcomes of LHU delivery</w:t>
      </w:r>
    </w:p>
    <w:p w14:paraId="127CA116" w14:textId="6824A8FD" w:rsidR="00A87D76" w:rsidRPr="000F1D8D" w:rsidRDefault="00A87D76" w:rsidP="00EE5008">
      <w:pPr>
        <w:spacing w:line="480" w:lineRule="auto"/>
        <w:jc w:val="both"/>
        <w:rPr>
          <w:rFonts w:ascii="Arial" w:eastAsia="Arial" w:hAnsi="Arial" w:cs="Arial"/>
          <w:sz w:val="22"/>
          <w:szCs w:val="22"/>
        </w:rPr>
      </w:pPr>
      <w:r w:rsidRPr="000F1D8D">
        <w:rPr>
          <w:rFonts w:ascii="Arial" w:eastAsia="Arial" w:hAnsi="Arial" w:cs="Arial"/>
          <w:sz w:val="22"/>
          <w:szCs w:val="22"/>
        </w:rPr>
        <w:t>Growth metrics and laboratory values were collected before (pre) and after (post) initiation of LHU (</w:t>
      </w:r>
      <w:r w:rsidRPr="000F1D8D">
        <w:rPr>
          <w:rFonts w:ascii="Arial" w:eastAsia="Arial" w:hAnsi="Arial" w:cs="Arial"/>
          <w:b/>
          <w:bCs/>
          <w:sz w:val="22"/>
          <w:szCs w:val="22"/>
        </w:rPr>
        <w:t>Table 2</w:t>
      </w:r>
      <w:r w:rsidRPr="000F1D8D">
        <w:rPr>
          <w:rFonts w:ascii="Arial" w:eastAsia="Arial" w:hAnsi="Arial" w:cs="Arial"/>
          <w:sz w:val="22"/>
          <w:szCs w:val="22"/>
        </w:rPr>
        <w:t xml:space="preserve">). Height and weight percentiles increased during the </w:t>
      </w:r>
      <w:r w:rsidR="00E7699E" w:rsidRPr="000F1D8D">
        <w:rPr>
          <w:rFonts w:ascii="Arial" w:eastAsia="Arial" w:hAnsi="Arial" w:cs="Arial"/>
          <w:sz w:val="22"/>
          <w:szCs w:val="22"/>
        </w:rPr>
        <w:t>pre-</w:t>
      </w:r>
      <w:r w:rsidRPr="000F1D8D">
        <w:rPr>
          <w:rFonts w:ascii="Arial" w:eastAsia="Arial" w:hAnsi="Arial" w:cs="Arial"/>
          <w:sz w:val="22"/>
          <w:szCs w:val="22"/>
        </w:rPr>
        <w:t xml:space="preserve"> and post-period, both by 2.7%, although this was not statistically significant. Among the lab values assessed, hemoglobin increased by 3.9% (p=0.02), and MCV increased by 3.9% (0.007). Results for the remaining laboratory values were not significant (</w:t>
      </w:r>
      <w:r w:rsidRPr="000F1D8D">
        <w:rPr>
          <w:rFonts w:ascii="Arial" w:eastAsia="Arial" w:hAnsi="Arial" w:cs="Arial"/>
          <w:b/>
          <w:bCs/>
          <w:sz w:val="22"/>
          <w:szCs w:val="22"/>
        </w:rPr>
        <w:t>Table 2</w:t>
      </w:r>
      <w:r w:rsidRPr="000F1D8D">
        <w:rPr>
          <w:rFonts w:ascii="Arial" w:eastAsia="Arial" w:hAnsi="Arial" w:cs="Arial"/>
          <w:sz w:val="22"/>
          <w:szCs w:val="22"/>
        </w:rPr>
        <w:t xml:space="preserve">). </w:t>
      </w:r>
    </w:p>
    <w:p w14:paraId="523C90C6" w14:textId="77777777" w:rsidR="00A87D76" w:rsidRPr="000F1D8D" w:rsidRDefault="00A87D76" w:rsidP="00EE5008">
      <w:pPr>
        <w:spacing w:line="480" w:lineRule="auto"/>
        <w:jc w:val="both"/>
        <w:rPr>
          <w:rFonts w:ascii="Arial" w:eastAsia="Arial" w:hAnsi="Arial" w:cs="Arial"/>
          <w:i/>
          <w:sz w:val="22"/>
          <w:szCs w:val="22"/>
        </w:rPr>
      </w:pPr>
      <w:r w:rsidRPr="000F1D8D">
        <w:rPr>
          <w:rFonts w:ascii="Arial" w:eastAsia="Arial" w:hAnsi="Arial" w:cs="Arial"/>
          <w:i/>
          <w:sz w:val="22"/>
          <w:szCs w:val="22"/>
        </w:rPr>
        <w:t>Frequency of outpatient visits, ED visits, and hospitalizations</w:t>
      </w:r>
    </w:p>
    <w:p w14:paraId="788AD637" w14:textId="17BE5CC8" w:rsidR="00A87D76" w:rsidRPr="000F1D8D" w:rsidRDefault="00A87D76" w:rsidP="00EE5008">
      <w:pPr>
        <w:spacing w:line="480" w:lineRule="auto"/>
        <w:jc w:val="both"/>
        <w:rPr>
          <w:rFonts w:ascii="Arial" w:eastAsia="Arial" w:hAnsi="Arial" w:cs="Arial"/>
          <w:sz w:val="22"/>
          <w:szCs w:val="22"/>
        </w:rPr>
      </w:pPr>
      <w:r w:rsidRPr="000F1D8D">
        <w:rPr>
          <w:rFonts w:ascii="Arial" w:eastAsia="Arial" w:hAnsi="Arial" w:cs="Arial"/>
          <w:sz w:val="22"/>
          <w:szCs w:val="22"/>
        </w:rPr>
        <w:t>We collected the total number of outpatient and ED visits and hospitalizations one year before and one year after the initiation of LHU (</w:t>
      </w:r>
      <w:r w:rsidRPr="000F1D8D">
        <w:rPr>
          <w:rFonts w:ascii="Arial" w:eastAsia="Arial" w:hAnsi="Arial" w:cs="Arial"/>
          <w:b/>
          <w:bCs/>
          <w:sz w:val="22"/>
          <w:szCs w:val="22"/>
        </w:rPr>
        <w:t>Table 3</w:t>
      </w:r>
      <w:r w:rsidRPr="000F1D8D">
        <w:rPr>
          <w:rFonts w:ascii="Arial" w:eastAsia="Arial" w:hAnsi="Arial" w:cs="Arial"/>
          <w:sz w:val="22"/>
          <w:szCs w:val="22"/>
        </w:rPr>
        <w:t xml:space="preserve">). Hospitalizations and ED visits were relatively uncommon; however, comparing the pre-and post-events revealed a decrease of 51.3% and 29.9% for each. The reduction in hospitalizations was statistically significant (p=0.01), whereas the decrease in ED visits was not (p=0.06). Outpatient visits did not significantly increase during the </w:t>
      </w:r>
      <w:r w:rsidR="00FC252B" w:rsidRPr="000F1D8D">
        <w:rPr>
          <w:rFonts w:ascii="Arial" w:eastAsia="Arial" w:hAnsi="Arial" w:cs="Arial"/>
          <w:sz w:val="22"/>
          <w:szCs w:val="22"/>
        </w:rPr>
        <w:t>pre-</w:t>
      </w:r>
      <w:r w:rsidRPr="000F1D8D">
        <w:rPr>
          <w:rFonts w:ascii="Arial" w:eastAsia="Arial" w:hAnsi="Arial" w:cs="Arial"/>
          <w:sz w:val="22"/>
          <w:szCs w:val="22"/>
        </w:rPr>
        <w:t xml:space="preserve"> and post-period. </w:t>
      </w:r>
    </w:p>
    <w:p w14:paraId="0148F777" w14:textId="77777777" w:rsidR="00A87D76" w:rsidRPr="000F1D8D" w:rsidRDefault="00A87D76" w:rsidP="00EE5008">
      <w:pPr>
        <w:spacing w:line="480" w:lineRule="auto"/>
        <w:jc w:val="both"/>
        <w:rPr>
          <w:rFonts w:ascii="Arial" w:eastAsia="Arial" w:hAnsi="Arial" w:cs="Arial"/>
          <w:i/>
          <w:sz w:val="22"/>
          <w:szCs w:val="22"/>
        </w:rPr>
      </w:pPr>
      <w:r w:rsidRPr="000F1D8D">
        <w:rPr>
          <w:rFonts w:ascii="Arial" w:eastAsia="Arial" w:hAnsi="Arial" w:cs="Arial"/>
          <w:i/>
          <w:sz w:val="22"/>
          <w:szCs w:val="22"/>
        </w:rPr>
        <w:t xml:space="preserve">Frequency of acute chest syndrome and </w:t>
      </w:r>
      <w:proofErr w:type="spellStart"/>
      <w:r w:rsidRPr="000F1D8D">
        <w:rPr>
          <w:rFonts w:ascii="Arial" w:eastAsia="Arial" w:hAnsi="Arial" w:cs="Arial"/>
          <w:i/>
          <w:sz w:val="22"/>
          <w:szCs w:val="22"/>
        </w:rPr>
        <w:t>vaso</w:t>
      </w:r>
      <w:proofErr w:type="spellEnd"/>
      <w:r w:rsidRPr="000F1D8D">
        <w:rPr>
          <w:rFonts w:ascii="Arial" w:eastAsia="Arial" w:hAnsi="Arial" w:cs="Arial"/>
          <w:i/>
          <w:sz w:val="22"/>
          <w:szCs w:val="22"/>
        </w:rPr>
        <w:t>-occlusive episodes</w:t>
      </w:r>
    </w:p>
    <w:p w14:paraId="674A50E4" w14:textId="7A5EFED2" w:rsidR="00A87D76" w:rsidRPr="000F1D8D" w:rsidRDefault="00A87D76" w:rsidP="00EE5008">
      <w:pPr>
        <w:spacing w:line="480" w:lineRule="auto"/>
        <w:jc w:val="both"/>
        <w:rPr>
          <w:rFonts w:ascii="Arial" w:eastAsia="Arial" w:hAnsi="Arial" w:cs="Arial"/>
          <w:sz w:val="22"/>
          <w:szCs w:val="22"/>
        </w:rPr>
      </w:pPr>
      <w:r w:rsidRPr="000F1D8D">
        <w:rPr>
          <w:rFonts w:ascii="Arial" w:eastAsia="Arial" w:hAnsi="Arial" w:cs="Arial"/>
          <w:sz w:val="22"/>
          <w:szCs w:val="22"/>
        </w:rPr>
        <w:t>ACS and VOE frequencies were calculated one year before and one year after initiating LHU. ACS was uncommon across patients, with a % relative decrease in ACS episodes of 86.4% (p=0.02). However, VOEs did not significantly decrease (p=0.09) across the group (</w:t>
      </w:r>
      <w:r w:rsidRPr="000F1D8D">
        <w:rPr>
          <w:rFonts w:ascii="Arial" w:eastAsia="Arial" w:hAnsi="Arial" w:cs="Arial"/>
          <w:b/>
          <w:bCs/>
          <w:sz w:val="22"/>
          <w:szCs w:val="22"/>
        </w:rPr>
        <w:t>Table 3</w:t>
      </w:r>
      <w:r w:rsidRPr="000F1D8D">
        <w:rPr>
          <w:rFonts w:ascii="Arial" w:eastAsia="Arial" w:hAnsi="Arial" w:cs="Arial"/>
          <w:sz w:val="22"/>
          <w:szCs w:val="22"/>
        </w:rPr>
        <w:t xml:space="preserve">). </w:t>
      </w:r>
    </w:p>
    <w:p w14:paraId="290E31AB" w14:textId="77777777" w:rsidR="00A87D76" w:rsidRPr="000F1D8D" w:rsidRDefault="00A87D76" w:rsidP="00EE5008">
      <w:pPr>
        <w:spacing w:line="480" w:lineRule="auto"/>
        <w:jc w:val="both"/>
        <w:rPr>
          <w:rFonts w:ascii="Arial" w:eastAsia="Arial" w:hAnsi="Arial" w:cs="Arial"/>
          <w:i/>
          <w:sz w:val="22"/>
          <w:szCs w:val="22"/>
        </w:rPr>
      </w:pPr>
      <w:r w:rsidRPr="000F1D8D">
        <w:rPr>
          <w:rFonts w:ascii="Arial" w:eastAsia="Arial" w:hAnsi="Arial" w:cs="Arial"/>
          <w:i/>
          <w:sz w:val="22"/>
          <w:szCs w:val="22"/>
        </w:rPr>
        <w:t>Patient experiences</w:t>
      </w:r>
    </w:p>
    <w:p w14:paraId="20942F36" w14:textId="60E12DD5" w:rsidR="00A87D76" w:rsidRPr="000F1D8D" w:rsidRDefault="00A87D76" w:rsidP="00EE5008">
      <w:pPr>
        <w:spacing w:line="480" w:lineRule="auto"/>
        <w:jc w:val="both"/>
        <w:rPr>
          <w:rFonts w:ascii="Arial" w:eastAsia="Arial" w:hAnsi="Arial" w:cs="Arial"/>
          <w:sz w:val="22"/>
          <w:szCs w:val="22"/>
        </w:rPr>
      </w:pPr>
      <w:r w:rsidRPr="000F1D8D">
        <w:rPr>
          <w:rFonts w:ascii="Arial" w:eastAsia="Arial" w:hAnsi="Arial" w:cs="Arial"/>
          <w:sz w:val="22"/>
          <w:szCs w:val="22"/>
        </w:rPr>
        <w:t>As part of the chart review, patients’ experiences were collected. Chart reviews were notable for the advantages and disadvantages of the LHU delivery program (</w:t>
      </w:r>
      <w:r w:rsidR="00522AE9" w:rsidRPr="000F1D8D">
        <w:rPr>
          <w:rFonts w:ascii="Arial" w:eastAsia="Arial" w:hAnsi="Arial" w:cs="Arial"/>
          <w:b/>
          <w:bCs/>
          <w:sz w:val="22"/>
          <w:szCs w:val="22"/>
        </w:rPr>
        <w:t>Supplementary Table 2</w:t>
      </w:r>
      <w:r w:rsidRPr="000F1D8D">
        <w:rPr>
          <w:rFonts w:ascii="Arial" w:eastAsia="Arial" w:hAnsi="Arial" w:cs="Arial"/>
          <w:sz w:val="22"/>
          <w:szCs w:val="22"/>
        </w:rPr>
        <w:t xml:space="preserve">). Parents and clinicians noted cost, delivery, and difficulty tolerating capsules as barriers to access; </w:t>
      </w:r>
      <w:r w:rsidRPr="000F1D8D">
        <w:rPr>
          <w:rFonts w:ascii="Arial" w:eastAsia="Arial" w:hAnsi="Arial" w:cs="Arial"/>
          <w:sz w:val="22"/>
          <w:szCs w:val="22"/>
        </w:rPr>
        <w:lastRenderedPageBreak/>
        <w:t xml:space="preserve">these issues were resolved after switching to or initiating LHU delivery through the hospital’s pharmacy. Despite this improvement, barriers to access through the hospital’s pharmacy included difficulty with delivery and requesting prescription refills. Difficulty with deliveries was common for patients who were homeless. Difficulty with prescription refills was common for parents who did not understand that the pharmacy would automatically renew prescriptions after visits and had questions on how to obtain a refill. </w:t>
      </w:r>
    </w:p>
    <w:p w14:paraId="6FE3E608" w14:textId="77777777" w:rsidR="00A87D76" w:rsidRPr="000F1D8D" w:rsidRDefault="00A87D76" w:rsidP="00EE5008">
      <w:pPr>
        <w:spacing w:line="480" w:lineRule="auto"/>
        <w:jc w:val="both"/>
        <w:rPr>
          <w:rFonts w:ascii="Arial" w:eastAsia="Arial" w:hAnsi="Arial" w:cs="Arial"/>
          <w:b/>
          <w:sz w:val="22"/>
          <w:szCs w:val="22"/>
        </w:rPr>
      </w:pPr>
    </w:p>
    <w:p w14:paraId="14FCC2AF" w14:textId="77777777" w:rsidR="00A87D76" w:rsidRPr="000F1D8D" w:rsidRDefault="00A87D76" w:rsidP="00EE5008">
      <w:pPr>
        <w:spacing w:line="480" w:lineRule="auto"/>
        <w:jc w:val="both"/>
        <w:rPr>
          <w:rFonts w:ascii="Arial" w:eastAsia="Arial" w:hAnsi="Arial" w:cs="Arial"/>
          <w:b/>
          <w:sz w:val="22"/>
          <w:szCs w:val="22"/>
        </w:rPr>
      </w:pPr>
      <w:r w:rsidRPr="000F1D8D">
        <w:rPr>
          <w:rFonts w:ascii="Arial" w:eastAsia="Arial" w:hAnsi="Arial" w:cs="Arial"/>
          <w:b/>
          <w:sz w:val="22"/>
          <w:szCs w:val="22"/>
        </w:rPr>
        <w:t>Discussion</w:t>
      </w:r>
    </w:p>
    <w:p w14:paraId="3FC57E21" w14:textId="5E8BFA5F" w:rsidR="00A87D76" w:rsidRPr="000F1D8D" w:rsidRDefault="00A87D76" w:rsidP="00EE5008">
      <w:pPr>
        <w:spacing w:line="480" w:lineRule="auto"/>
        <w:jc w:val="both"/>
        <w:rPr>
          <w:rFonts w:ascii="Arial" w:eastAsia="Arial" w:hAnsi="Arial" w:cs="Arial"/>
          <w:sz w:val="22"/>
          <w:szCs w:val="22"/>
        </w:rPr>
      </w:pPr>
      <w:r w:rsidRPr="000F1D8D">
        <w:rPr>
          <w:rFonts w:ascii="Arial" w:eastAsia="Arial" w:hAnsi="Arial" w:cs="Arial"/>
          <w:sz w:val="22"/>
          <w:szCs w:val="22"/>
        </w:rPr>
        <w:t>A liquid HU delivery program was established at the Boston Medical Center in 2016 to address gaps in the delivery of and adherence to HU regimens in pediatric patients with SCD. PDC measurements indicated over 90% adherence for most patients. Laboratory outcomes showed an expected increase in MCV</w:t>
      </w:r>
      <w:r w:rsidR="00514A1C" w:rsidRPr="000F1D8D">
        <w:rPr>
          <w:rFonts w:ascii="Arial" w:eastAsia="Arial" w:hAnsi="Arial" w:cs="Arial"/>
          <w:sz w:val="22"/>
          <w:szCs w:val="22"/>
        </w:rPr>
        <w:fldChar w:fldCharType="begin" w:fldLock="1"/>
      </w:r>
      <w:r w:rsidR="003F2584" w:rsidRPr="000F1D8D">
        <w:rPr>
          <w:rFonts w:ascii="Arial" w:eastAsia="Arial" w:hAnsi="Arial" w:cs="Arial"/>
          <w:sz w:val="22"/>
          <w:szCs w:val="22"/>
        </w:rPr>
        <w:instrText>ADDIN CSL_CITATION {"citationItems":[{"id":"ITEM-1","itemData":{"DOI":"10.1016/S0140-6736(11)60355-3","ISSN":"01406736","PMID":"21571150","abstract":"Background: Sickle-cell anaemia is associated with substantial morbidity from acute complications and organ dysfunction beginning in the first year of life. Hydroxycarbamide substantially reduces episodes of pain and acute chest syndrome, admissions to hospital, and transfusions in adults with sickle-cell anaemia. We assessed the effect of hydroxycarbamide therapy on organ dysfunction and clinical complications, and examined laboratory findings and toxic effects. Methods: This randomised trial was undertaken in 13 centres in the USA between October, 2003, and September, 2009. Eligible participants had haemoglobin SS (HbSS) or haemoglobin Sβ0thalassaemia, were aged 9-18 months at randomisation, and were not selected for clinical severity. Participants received liquid hydroxycarbamide, 20 mg/kg per day, or placebo for 2 years. Randomisation assignments were generated by the medical coordinating centre by a pre-decided schedule. Identical appearing and tasting formulations were used for hydroxycarbamide and placebo. Patients, caregivers, and coordinating centre staff were masked to treatment allocation. Primary study endpoints were splenic function (qualitative uptake on 99Tc spleen scan) and renal function (glomerular filtration rate by 99mTc-DTPA clearance). Additional assessments included blood counts, fetal haemoglobin concentration, chemistry profiles, spleen function biomarkers, urine osmolality, neurodevelopment, transcranial Doppler ultrasonography, growth, and mutagenicity. Study visits occurred every 2-4 weeks. Analysis was by intention to treat. The trial is registered with ClinicalTrials.gov, number NCT00006400. Findings: 96 patients received hydroxycarbamide and 97 placebo, of whom 83 patients in the hydroxycarbamide group and 84 in the placebo group completed the study. Significant differences were not seen between groups for the primary endpoints (19 of 70 patients with decreased spleen function at exit in the hydroxycarbamide group vs 28 of 74 patients in the placebo group, p=0·21; and a difference in the mean increase in DTPA glomerular filtration rate in the hydroxycarbamide group versus the placebo group of 2 mL/min per 1·73 m2, p=0·84). Hydroxycarbamide significantly decreased pain (177 events in 62 patients vs 375 events in 75 patients in the placebo group, p=0·002) and dactylitis (24 events in 14 patients vs 123 events in 42 patients in the placebo group, p&lt;0·0001), with some evidence for decreased acute chest syndrome, hospitalisatio…","author":[{"dropping-particle":"","family":"Armstrong","given":"F. Daniel","non-dropping-particle":"","parse-names":false,"suffix":""},{"dropping-particle":"","family":"Emory","given":") ;","non-dropping-particle":"","parse-names":false,"suffix":""},{"dropping-particle":"","family":"Wang","given":"Winfred C.","non-dropping-particle":"","parse-names":false,"suffix":""},{"dropping-particle":"","family":"Ware","given":"Russell E.","non-dropping-particle":"","parse-names":false,"suffix":""},{"dropping-particle":"","family":"Miller","given":"Scott T.","non-dropping-particle":"","parse-names":false,"suffix":""},{"dropping-particle":"V.","family":"Iyer","given":"Rathi","non-dropping-particle":"","parse-names":false,"suffix":""},{"dropping-particle":"","family":"Casella","given":"James F.","non-dropping-particle":"","parse-names":false,"suffix":""},{"dropping-particle":"","family":"Minniti","given":"Caterina P.","non-dropping-particle":"","parse-names":false,"suffix":""},{"dropping-particle":"","family":"Rana","given":"Sohail","non-dropping-particle":"","parse-names":false,"suffix":""},{"dropping-particle":"","family":"Thornburg","given":"Courtney D.","non-dropping-particle":"","parse-names":false,"suffix":""},{"dropping-particle":"","family":"Rogers","given":"Zora R.","non-dropping-particle":"","parse-names":false,"suffix":""},{"dropping-particle":"V.","family":"Kalpatthi","given":"Ram","non-dropping-particle":"","parse-names":false,"suffix":""},{"dropping-particle":"","family":"Barredo","given":"Julio C.","non-dropping-particle":"","parse-names":false,"suffix":""},{"dropping-particle":"","family":"Brown","given":"Clark","non-dropping-particle":"","parse-names":false,"suffix":""},{"dropping-particle":"","family":"Sarnaik","given":"Sharada A.","non-dropping-particle":"","parse-names":false,"suffix":""},{"dropping-particle":"","family":"Howard","given":"Thomas H.","non-dropping-particle":"","parse-names":false,"suffix":""},{"dropping-particle":"","family":"Wynn","given":"Lynn W.","non-dropping-particle":"","parse-names":false,"suffix":""},{"dropping-particle":"","family":"Kutlar","given":"Abdullah","non-dropping-particle":"","parse-names":false,"suffix":""},{"dropping-particle":"","family":"Armstrong","given":"Daniel","non-dropping-particle":"","parse-names":false,"suffix":""},{"dropping-particle":"","family":"Files","given":"Beatrice A.","non-dropping-particle":"","parse-names":false,"suffix":""},{"dropping-particle":"","family":"Goldsmith","given":"Jonathan C.","non-dropping-particle":"","parse-names":false,"suffix":""},{"dropping-particle":"","family":"Waclawiw","given":"Myron A.","non-dropping-particle":"","parse-names":false,"suffix":""},{"dropping-particle":"","family":"Huang","given":"Xiangke","non-dropping-particle":"","parse-names":false,"suffix":""},{"dropping-particle":"","family":"Thompson","given":"Bruce W.","non-dropping-particle":"","parse-names":false,"suffix":""},{"dropping-particle":"","family":"Brown","given":"R. Clark","non-dropping-particle":"","parse-names":false,"suffix":""},{"dropping-particle":"","family":"Sarnaik","given":"Sharada A.","non-dropping-particle":"","parse-names":false,"suffix":""},{"dropping-particle":"","family":"Howard","given":"Thomas H.","non-dropping-particle":"","parse-names":false,"suffix":""},{"dropping-particle":"","family":"Wynn","given":"Lynn W.","non-dropping-particle":"","parse-names":false,"suffix":""},{"dropping-particle":"","family":"Kutlar","given":"Abdullah","non-dropping-particle":"","parse-names":false,"suffix":""},{"dropping-particle":"","family":"Armstrong","given":"F. Daniel","non-dropping-particle":"","parse-names":false,"suffix":""},{"dropping-particle":"","family":"Files","given":"Beatrice A.","non-dropping-particle":"","parse-names":false,"suffix":""},{"dropping-particle":"","family":"Goldsmith","given":"Jonathan C.","non-dropping-particle":"","parse-names":false,"suffix":""},{"dropping-particle":"","family":"Waclawiw","given":"Myron A.","non-dropping-particle":"","parse-names":false,"suffix":""},{"dropping-particle":"","family":"Huang","given":"Xiangke","non-dropping-particle":"","parse-names":false,"suffix":""},{"dropping-particle":"","family":"Thompson","given":"Bruce W.","non-dropping-particle":"","parse-names":false,"suffix":""}],"container-title":"The Lancet","id":"ITEM-1","issue":"9778","issued":{"date-parts":[["2011"]]},"page":"1663-1672","publisher":"Elsevier Ltd","title":"Hydroxycarbamide in very young children with sickle-cell anaemia: A multicentre, randomised, controlled trial (BABY HUG)","type":"article-journal","volume":"377"},"uris":["http://www.mendeley.com/documents/?uuid=3fa6d7ea-31d2-487b-8a01-05f3d6af848d"]}],"mendeley":{"formattedCitation":"&lt;sup&gt;14&lt;/sup&gt;","plainTextFormattedCitation":"14","previouslyFormattedCitation":"&lt;sup&gt;14&lt;/sup&gt;"},"properties":{"noteIndex":0},"schema":"https://github.com/citation-style-language/schema/raw/master/csl-citation.json"}</w:instrText>
      </w:r>
      <w:r w:rsidR="00514A1C" w:rsidRPr="000F1D8D">
        <w:rPr>
          <w:rFonts w:ascii="Arial" w:eastAsia="Arial" w:hAnsi="Arial" w:cs="Arial"/>
          <w:sz w:val="22"/>
          <w:szCs w:val="22"/>
        </w:rPr>
        <w:fldChar w:fldCharType="separate"/>
      </w:r>
      <w:r w:rsidR="00514A1C" w:rsidRPr="000F1D8D">
        <w:rPr>
          <w:rFonts w:ascii="Arial" w:eastAsia="Arial" w:hAnsi="Arial" w:cs="Arial"/>
          <w:noProof/>
          <w:sz w:val="22"/>
          <w:szCs w:val="22"/>
          <w:vertAlign w:val="superscript"/>
        </w:rPr>
        <w:t>14</w:t>
      </w:r>
      <w:r w:rsidR="00514A1C" w:rsidRPr="000F1D8D">
        <w:rPr>
          <w:rFonts w:ascii="Arial" w:eastAsia="Arial" w:hAnsi="Arial" w:cs="Arial"/>
          <w:sz w:val="22"/>
          <w:szCs w:val="22"/>
        </w:rPr>
        <w:fldChar w:fldCharType="end"/>
      </w:r>
      <w:r w:rsidRPr="000F1D8D">
        <w:rPr>
          <w:rFonts w:ascii="Arial" w:eastAsia="Arial" w:hAnsi="Arial" w:cs="Arial"/>
          <w:sz w:val="22"/>
          <w:szCs w:val="22"/>
        </w:rPr>
        <w:t>, a decrease in ANC values, and an increase in hemoglobin and fetal hemoglobin levels. Healthcare utilization metrics decreased for SCD-related emergencies after the initiation of LHU. Altogether, these suggest that the program decreased HU access and adherence barriers.</w:t>
      </w:r>
    </w:p>
    <w:p w14:paraId="16848791" w14:textId="70AB9AE7" w:rsidR="00A87D76" w:rsidRPr="000F1D8D" w:rsidRDefault="00A87D76" w:rsidP="00EE5008">
      <w:pPr>
        <w:spacing w:line="480" w:lineRule="auto"/>
        <w:jc w:val="both"/>
        <w:rPr>
          <w:rFonts w:ascii="Arial" w:eastAsia="Arial" w:hAnsi="Arial" w:cs="Arial"/>
          <w:sz w:val="22"/>
          <w:szCs w:val="22"/>
        </w:rPr>
      </w:pPr>
      <w:r w:rsidRPr="000F1D8D">
        <w:rPr>
          <w:rFonts w:ascii="Arial" w:eastAsia="Arial" w:hAnsi="Arial" w:cs="Arial"/>
          <w:sz w:val="22"/>
          <w:szCs w:val="22"/>
        </w:rPr>
        <w:t>The primary aim of this study was to determine whether providing LHU directly to patients affected adherence measures. Importantly, our PDCs are significantly higher than reported previously</w:t>
      </w:r>
      <w:r w:rsidR="00595A84" w:rsidRPr="000F1D8D">
        <w:rPr>
          <w:rFonts w:ascii="Arial" w:eastAsia="Arial" w:hAnsi="Arial" w:cs="Arial"/>
          <w:sz w:val="22"/>
          <w:szCs w:val="22"/>
          <w:vertAlign w:val="superscript"/>
        </w:rPr>
        <w:fldChar w:fldCharType="begin" w:fldLock="1"/>
      </w:r>
      <w:r w:rsidR="00463C5A" w:rsidRPr="000F1D8D">
        <w:rPr>
          <w:rFonts w:ascii="Arial" w:eastAsia="Arial" w:hAnsi="Arial" w:cs="Arial"/>
          <w:sz w:val="22"/>
          <w:szCs w:val="22"/>
          <w:vertAlign w:val="superscript"/>
        </w:rPr>
        <w:instrText>ADDIN CSL_CITATION {"citationItems":[{"id":"ITEM-1","itemData":{"DOI":"10.1016/J.AMEPRE.2016.01.001","ISSN":"1873-2607","PMID":"27320463","abstract":"Introduction This study examined hydroxyurea usage in young children with sickle cell anemia within New York State (NYS). The cohort was 273 children with sickle cell anemia born in NYS in 2006-2009 and enrolled essentially continuously in Medicaid for the first 4 years of life. Methods Medicaid data were used to examine hydroxyurea usage in this group by age at first prescription fill, persistence, region, treatment institution, and year. Log-binomial regression models were used to estimate the likelihood of receiving hydroxyurea treatment. Data from birth through 2014 for all members of the study group were assembled and analyzed in 2015. Results About 25% of the cohort had at least one filled hydroxyurea prescription by their fifth birthday, and nearly 40% by the end of the study period. The mean proportion of days covered for the first year of therapy was 56.3%. Adherence was also assessed by calculating medication possession ratios for individual treatment periods. Slightly more than one third of treated children showed 80% coverage by these measures. There was a consistent, but not statistically significant, trend toward younger age at first fill. Significant regional and treatment center differences in initiation of hydroxyurea use, but not in persistence after initiation, were noted among NYS centers. Conclusions Subsequent to clinical studies demonstrating safety, current NYS-wide use of hydroxyurea in young children with sickle cell anemia appears to be widespread and increasing. However, practice differences between treatment centers and inadequate adherence may limit the full disease-modifying effects of hydroxyurea.","author":[{"dropping-particle":"","family":"Anders","given":"David G.","non-dropping-particle":"","parse-names":false,"suffix":""},{"dropping-particle":"","family":"Tang","given":"Fei","non-dropping-particle":"","parse-names":false,"suffix":""},{"dropping-particle":"","family":"Ledneva","given":"Tatania","non-dropping-particle":"","parse-names":false,"suffix":""},{"dropping-particle":"","family":"Caggana","given":"Michele","non-dropping-particle":"","parse-names":false,"suffix":""},{"dropping-particle":"","family":"Green","given":"Nancy S.","non-dropping-particle":"","parse-names":false,"suffix":""},{"dropping-particle":"","family":"Wang","given":"Ying","non-dropping-particle":"","parse-names":false,"suffix":""},{"dropping-particle":"","family":"Sturman","given":"Lawrence S.","non-dropping-particle":"","parse-names":false,"suffix":""}],"container-title":"American journal of preventive medicine","id":"ITEM-1","issue":"1 Suppl 1","issued":{"date-parts":[["2016","7","1"]]},"page":"S31-S38","publisher":"Am J Prev Med","title":"Hydroxyurea Use in Young Children With Sickle Cell Anemia in New York State","type":"article-journal","volume":"51"},"uris":["http://www.mendeley.com/documents/?uuid=b369a5a2-2666-3302-a2f8-dc6d8d0809f1"]}],"mendeley":{"formattedCitation":"&lt;sup&gt;18&lt;/sup&gt;","plainTextFormattedCitation":"18","previouslyFormattedCitation":"&lt;sup&gt;17&lt;/sup&gt;"},"properties":{"noteIndex":0},"schema":"https://github.com/citation-style-language/schema/raw/master/csl-citation.json"}</w:instrText>
      </w:r>
      <w:r w:rsidR="00595A84" w:rsidRPr="000F1D8D">
        <w:rPr>
          <w:rFonts w:ascii="Arial" w:eastAsia="Arial" w:hAnsi="Arial" w:cs="Arial"/>
          <w:sz w:val="22"/>
          <w:szCs w:val="22"/>
          <w:vertAlign w:val="superscript"/>
        </w:rPr>
        <w:fldChar w:fldCharType="separate"/>
      </w:r>
      <w:r w:rsidR="00463C5A" w:rsidRPr="000F1D8D">
        <w:rPr>
          <w:rFonts w:ascii="Arial" w:eastAsia="Arial" w:hAnsi="Arial" w:cs="Arial"/>
          <w:noProof/>
          <w:sz w:val="22"/>
          <w:szCs w:val="22"/>
          <w:vertAlign w:val="superscript"/>
        </w:rPr>
        <w:t>18</w:t>
      </w:r>
      <w:r w:rsidR="00595A84" w:rsidRPr="000F1D8D">
        <w:rPr>
          <w:rFonts w:ascii="Arial" w:eastAsia="Arial" w:hAnsi="Arial" w:cs="Arial"/>
          <w:sz w:val="22"/>
          <w:szCs w:val="22"/>
          <w:vertAlign w:val="superscript"/>
        </w:rPr>
        <w:fldChar w:fldCharType="end"/>
      </w:r>
      <w:r w:rsidR="00FB0118" w:rsidRPr="000F1D8D">
        <w:rPr>
          <w:rFonts w:ascii="Arial" w:eastAsia="Arial" w:hAnsi="Arial" w:cs="Arial"/>
          <w:sz w:val="22"/>
          <w:szCs w:val="22"/>
          <w:vertAlign w:val="superscript"/>
        </w:rPr>
        <w:t>,</w:t>
      </w:r>
      <w:r w:rsidR="009E4CCF" w:rsidRPr="000F1D8D">
        <w:rPr>
          <w:rFonts w:ascii="Arial" w:eastAsia="Arial" w:hAnsi="Arial" w:cs="Arial"/>
          <w:sz w:val="22"/>
          <w:szCs w:val="22"/>
          <w:vertAlign w:val="superscript"/>
        </w:rPr>
        <w:fldChar w:fldCharType="begin" w:fldLock="1"/>
      </w:r>
      <w:r w:rsidR="001D7917" w:rsidRPr="000F1D8D">
        <w:rPr>
          <w:rFonts w:ascii="Arial" w:eastAsia="Arial" w:hAnsi="Arial" w:cs="Arial"/>
          <w:sz w:val="22"/>
          <w:szCs w:val="22"/>
          <w:vertAlign w:val="superscript"/>
        </w:rPr>
        <w:instrText>ADDIN CSL_CITATION {"citationItems":[{"id":"ITEM-1","itemData":{"DOI":"10.1002/ajh.21968","ISSN":"03618609","PMID":"21328441","abstract":"While laboratory and clinical benefits of hydroxyurea for patients with sickle cell disease (SCD) are well-established, few data describe the extent and implications of non-adherence. We sought to assess adherence to hydroxyurea among patients with SCD and investigate associations between adherence and clinical and economic outcomes. Insurance claims of North Carolina Medicaid enrollees (6/2000-8/2008) with SCD were analyzed. Inclusion criteria included age &lt;65 years, continuous Medicaid enrollment ≥12 months before and following hydroxyurea initiation, and ≥2 hydroxyurea prescriptions. Three hundred twelve patients, mean age 21 (±12.2) years, met inclusion criteria and 35% were adherent, defined as a medication possession ration (MPR) ≥ 0.80; mean MPR was 0.60. In the 12 months following hydroxyurea initiation, adherence was associated with reduced risk of SCD-related hospitalization (hazard ratio [HR] = 0.65, p = .0351), all-cause and SCD-related emergency department visit (HR = 0.72, p = .0388; HR = 0.58, p = 0079, respectively), and vaso-occlusive event (HR = 0.66, p = .0130). Adherence was associated with reductions in health care costs such as all-cause and SCD-related inpatient (-$5,286, p &lt; .0001; -$4,403, p &lt; .0001, respectively), ancillary care (-$1,336, p &lt; .0001; -$836, p &lt; .0001, respectively), vaso-occlusive event-related (-$5,793, p &lt; .0001), and total costs (-$6,529, p &lt; .0001; -$5,329, p &lt; 0001, respectively). Adherence to hydroxyurea among SCD patients appears suboptimal and better adherence is associated with improved clinical and economic outcomes. © 2010 Wiley-Liss, Inc.","author":[{"dropping-particle":"","family":"Candrilli","given":"Sean D.","non-dropping-particle":"","parse-names":false,"suffix":""},{"dropping-particle":"","family":"O'Brien","given":"Sarah H.","non-dropping-particle":"","parse-names":false,"suffix":""},{"dropping-particle":"","family":"Ware","given":"Russell E.","non-dropping-particle":"","parse-names":false,"suffix":""},{"dropping-particle":"","family":"Nahata","given":"Milap C.","non-dropping-particle":"","parse-names":false,"suffix":""},{"dropping-particle":"","family":"Seiber","given":"Eric E.","non-dropping-particle":"","parse-names":false,"suffix":""},{"dropping-particle":"","family":"Balkrishnan","given":"Rajesh","non-dropping-particle":"","parse-names":false,"suffix":""}],"container-title":"American Journal of Hematology","id":"ITEM-1","issue":"3","issued":{"date-parts":[["2011"]]},"page":"273-277","title":"Hydroxyurea adherence and associated outcomes among Medicaid enrollees with sickle cell disease","type":"article-journal","volume":"86"},"uris":["http://www.mendeley.com/documents/?uuid=fe9397e8-dd83-4b5e-8587-2e703b9a330e"]}],"mendeley":{"formattedCitation":"&lt;sup&gt;19&lt;/sup&gt;","plainTextFormattedCitation":"19","previouslyFormattedCitation":"&lt;sup&gt;19&lt;/sup&gt;"},"properties":{"noteIndex":0},"schema":"https://github.com/citation-style-language/schema/raw/master/csl-citation.json"}</w:instrText>
      </w:r>
      <w:r w:rsidR="009E4CCF" w:rsidRPr="000F1D8D">
        <w:rPr>
          <w:rFonts w:ascii="Arial" w:eastAsia="Arial" w:hAnsi="Arial" w:cs="Arial"/>
          <w:sz w:val="22"/>
          <w:szCs w:val="22"/>
          <w:vertAlign w:val="superscript"/>
        </w:rPr>
        <w:fldChar w:fldCharType="separate"/>
      </w:r>
      <w:r w:rsidR="00BE2023" w:rsidRPr="000F1D8D">
        <w:rPr>
          <w:rFonts w:ascii="Arial" w:eastAsia="Arial" w:hAnsi="Arial" w:cs="Arial"/>
          <w:noProof/>
          <w:sz w:val="22"/>
          <w:szCs w:val="22"/>
          <w:vertAlign w:val="superscript"/>
        </w:rPr>
        <w:t>19</w:t>
      </w:r>
      <w:r w:rsidR="009E4CCF" w:rsidRPr="000F1D8D">
        <w:rPr>
          <w:rFonts w:ascii="Arial" w:eastAsia="Arial" w:hAnsi="Arial" w:cs="Arial"/>
          <w:sz w:val="22"/>
          <w:szCs w:val="22"/>
          <w:vertAlign w:val="superscript"/>
        </w:rPr>
        <w:fldChar w:fldCharType="end"/>
      </w:r>
      <w:r w:rsidR="00FB0118" w:rsidRPr="000F1D8D">
        <w:rPr>
          <w:rFonts w:ascii="Arial" w:eastAsia="Arial" w:hAnsi="Arial" w:cs="Arial"/>
          <w:sz w:val="22"/>
          <w:szCs w:val="22"/>
          <w:vertAlign w:val="superscript"/>
        </w:rPr>
        <w:t>,</w:t>
      </w:r>
      <w:r w:rsidR="008062DC" w:rsidRPr="000F1D8D">
        <w:rPr>
          <w:rFonts w:ascii="Arial" w:eastAsia="Arial" w:hAnsi="Arial" w:cs="Arial"/>
          <w:sz w:val="22"/>
          <w:szCs w:val="22"/>
          <w:vertAlign w:val="superscript"/>
        </w:rPr>
        <w:fldChar w:fldCharType="begin" w:fldLock="1"/>
      </w:r>
      <w:r w:rsidR="00463C5A" w:rsidRPr="000F1D8D">
        <w:rPr>
          <w:rFonts w:ascii="Arial" w:eastAsia="Arial" w:hAnsi="Arial" w:cs="Arial"/>
          <w:sz w:val="22"/>
          <w:szCs w:val="22"/>
          <w:vertAlign w:val="superscript"/>
        </w:rPr>
        <w:instrText>ADDIN CSL_CITATION {"citationItems":[{"id":"ITEM-1","itemData":{"DOI":"10.1002/PBC.26689","ISSN":"1545-5017","PMID":"28643377","abstract":"Introduction: The main therapeutic intervention for sickle cell disease (SCD) is hydroxyurea (HU). The effect of HU is largely through dose-dependent induction of fetal hemoglobin (HbF). Poor HU adherence is common among adolescents. Methods: Our 6-month, two-site pilot intervention trial, “HABIT,” was led by culturally aligned community health workers (CHWs). CHWs performed support primarily through home visits, augmented by tailored text message reminders. Dyads of youth with SCD ages 10–18 years and a parent were enrolled. A customized HbF biomarker, the percentage decrease from each patients’ highest historical HU-induced HbF, “Personal best,” was used to qualify for enrollment and assess HU adherence. Two primary outcomes were as follows: (1) intervention feasibility and acceptability and (2) HU adherence measured in three ways: monthly percentage improvement toward HbF Personal best, proportion of days covered (PDC) by HU, and self-report. Results: Twenty-eight dyads were enrolled, of which 89% were retained. Feasibility and acceptability were excellent. Controlling for group assignment and month of intervention, the intervention group improved percentage decrease from Personal best by 2.3% per month during months 0–4 (P = 0.30), with similar improvement in adherence demonstrated using pharmacy records. Self-reported adherence did not correlate. Dyads viewed CHWs as supportive for learning about SCD and HU, living with SCD and making progress in coordinated self-management responsibility to support a daily HU habit. Most parents and youth appreciated text message HU reminders. Conclusions: The HABIT pilot intervention demonstrated feasibility and acceptability with promising effect toward improved medication adherence. Testing in a larger multisite intervention trial is warranted.","author":[{"dropping-particle":"","family":"Green","given":"Nancy S.","non-dropping-particle":"","parse-names":false,"suffix":""},{"dropping-particle":"","family":"Manwani","given":"Deepa","non-dropping-particle":"","parse-names":false,"suffix":""},{"dropping-particle":"","family":"Matos","given":"Sergio","non-dropping-particle":"","parse-names":false,"suffix":""},{"dropping-particle":"","family":"Hicks","given":"April","non-dropping-particle":"","parse-names":false,"suffix":""},{"dropping-particle":"","family":"Soto","given":"Luisa","non-dropping-particle":"","parse-names":false,"suffix":""},{"dropping-particle":"","family":"Castillo","given":"Yina","non-dropping-particle":"","parse-names":false,"suffix":""},{"dropping-particle":"","family":"Ireland","given":"Karen","non-dropping-particle":"","parse-names":false,"suffix":""},{"dropping-particle":"","family":"Stennett","given":"Yvonne","non-dropping-particle":"","parse-names":false,"suffix":""},{"dropping-particle":"","family":"Findley","given":"Sally","non-dropping-particle":"","parse-names":false,"suffix":""},{"dropping-particle":"","family":"Jia","given":"Haomiao","non-dropping-particle":"","parse-names":false,"suffix":""},{"dropping-particle":"","family":"Smaldone","given":"Arlene","non-dropping-particle":"","parse-names":false,"suffix":""}],"container-title":"Pediatric blood &amp; cancer","id":"ITEM-1","issue":"12","issued":{"date-parts":[["2017","12","1"]]},"publisher":"Pediatr Blood Cancer","title":"Randomized feasibility trial to improve hydroxyurea adherence in youth ages 10-18 years through community health workers: The HABIT study","type":"article-journal","volume":"64"},"uris":["http://www.mendeley.com/documents/?uuid=e671be52-7c3d-35b9-86f8-89553cbacc0d"]}],"mendeley":{"formattedCitation":"&lt;sup&gt;17&lt;/sup&gt;","plainTextFormattedCitation":"17","previouslyFormattedCitation":"&lt;sup&gt;18&lt;/sup&gt;"},"properties":{"noteIndex":0},"schema":"https://github.com/citation-style-language/schema/raw/master/csl-citation.json"}</w:instrText>
      </w:r>
      <w:r w:rsidR="008062DC" w:rsidRPr="000F1D8D">
        <w:rPr>
          <w:rFonts w:ascii="Arial" w:eastAsia="Arial" w:hAnsi="Arial" w:cs="Arial"/>
          <w:sz w:val="22"/>
          <w:szCs w:val="22"/>
          <w:vertAlign w:val="superscript"/>
        </w:rPr>
        <w:fldChar w:fldCharType="separate"/>
      </w:r>
      <w:r w:rsidR="00463C5A" w:rsidRPr="000F1D8D">
        <w:rPr>
          <w:rFonts w:ascii="Arial" w:eastAsia="Arial" w:hAnsi="Arial" w:cs="Arial"/>
          <w:noProof/>
          <w:sz w:val="22"/>
          <w:szCs w:val="22"/>
          <w:vertAlign w:val="superscript"/>
        </w:rPr>
        <w:t>17</w:t>
      </w:r>
      <w:r w:rsidR="008062DC" w:rsidRPr="000F1D8D">
        <w:rPr>
          <w:rFonts w:ascii="Arial" w:eastAsia="Arial" w:hAnsi="Arial" w:cs="Arial"/>
          <w:sz w:val="22"/>
          <w:szCs w:val="22"/>
          <w:vertAlign w:val="superscript"/>
        </w:rPr>
        <w:fldChar w:fldCharType="end"/>
      </w:r>
      <w:r w:rsidRPr="000F1D8D">
        <w:rPr>
          <w:rFonts w:ascii="Arial" w:eastAsia="Arial" w:hAnsi="Arial" w:cs="Arial"/>
          <w:sz w:val="22"/>
          <w:szCs w:val="22"/>
        </w:rPr>
        <w:t xml:space="preserve">, highlighting that adherence increases when this medication is provided directly to the patient. This model also tackles other barriers to access reported by families, including insurance coverage/cost, delivery, and difficulty tolerating capsules. As our population included patients aged nine months to 21 years, these outcomes reinforced the need for better delivery measures and the provision of liquid formulations of HU, which are easier to administer and take in this population. Not all barriers were effectively overcome by this program, including education regarding automatic refills and difficulty with homelessness; nevertheless, these lingering issues did not affect the PDC. </w:t>
      </w:r>
    </w:p>
    <w:p w14:paraId="75517567" w14:textId="6068BE7D" w:rsidR="00A87D76" w:rsidRPr="000F1D8D" w:rsidRDefault="00A87D76" w:rsidP="00EE5008">
      <w:pPr>
        <w:spacing w:line="480" w:lineRule="auto"/>
        <w:ind w:firstLine="720"/>
        <w:jc w:val="both"/>
        <w:rPr>
          <w:rFonts w:ascii="Arial" w:eastAsia="Arial" w:hAnsi="Arial" w:cs="Arial"/>
          <w:sz w:val="22"/>
          <w:szCs w:val="22"/>
        </w:rPr>
      </w:pPr>
      <w:r w:rsidRPr="000F1D8D">
        <w:rPr>
          <w:rFonts w:ascii="Arial" w:eastAsia="Arial" w:hAnsi="Arial" w:cs="Arial"/>
          <w:sz w:val="22"/>
          <w:szCs w:val="22"/>
        </w:rPr>
        <w:lastRenderedPageBreak/>
        <w:t>A secondary aim of this study was to determine whether this program would affect laboratory values. The BABY HUG trial showed that hemoglobin increased by 3% (0.3 g/dL) for patients on HU and decreased by 7% (0.6 g/dL) for those on placebo</w:t>
      </w:r>
      <w:r w:rsidR="00C969D3" w:rsidRPr="000F1D8D">
        <w:rPr>
          <w:rFonts w:ascii="Arial" w:eastAsia="Arial" w:hAnsi="Arial" w:cs="Arial"/>
          <w:sz w:val="22"/>
          <w:szCs w:val="22"/>
        </w:rPr>
        <w:fldChar w:fldCharType="begin" w:fldLock="1"/>
      </w:r>
      <w:r w:rsidR="00F94044" w:rsidRPr="000F1D8D">
        <w:rPr>
          <w:rFonts w:ascii="Arial" w:eastAsia="Arial" w:hAnsi="Arial" w:cs="Arial"/>
          <w:sz w:val="22"/>
          <w:szCs w:val="22"/>
        </w:rPr>
        <w:instrText>ADDIN CSL_CITATION {"citationItems":[{"id":"ITEM-1","itemData":{"DOI":"10.1016/S0140-6736(11)60355-3","ISSN":"01406736","PMID":"21571150","abstract":"Background: Sickle-cell anaemia is associated with substantial morbidity from acute complications and organ dysfunction beginning in the first year of life. Hydroxycarbamide substantially reduces episodes of pain and acute chest syndrome, admissions to hospital, and transfusions in adults with sickle-cell anaemia. We assessed the effect of hydroxycarbamide therapy on organ dysfunction and clinical complications, and examined laboratory findings and toxic effects. Methods: This randomised trial was undertaken in 13 centres in the USA between October, 2003, and September, 2009. Eligible participants had haemoglobin SS (HbSS) or haemoglobin Sβ0thalassaemia, were aged 9-18 months at randomisation, and were not selected for clinical severity. Participants received liquid hydroxycarbamide, 20 mg/kg per day, or placebo for 2 years. Randomisation assignments were generated by the medical coordinating centre by a pre-decided schedule. Identical appearing and tasting formulations were used for hydroxycarbamide and placebo. Patients, caregivers, and coordinating centre staff were masked to treatment allocation. Primary study endpoints were splenic function (qualitative uptake on 99Tc spleen scan) and renal function (glomerular filtration rate by 99mTc-DTPA clearance). Additional assessments included blood counts, fetal haemoglobin concentration, chemistry profiles, spleen function biomarkers, urine osmolality, neurodevelopment, transcranial Doppler ultrasonography, growth, and mutagenicity. Study visits occurred every 2-4 weeks. Analysis was by intention to treat. The trial is registered with ClinicalTrials.gov, number NCT00006400. Findings: 96 patients received hydroxycarbamide and 97 placebo, of whom 83 patients in the hydroxycarbamide group and 84 in the placebo group completed the study. Significant differences were not seen between groups for the primary endpoints (19 of 70 patients with decreased spleen function at exit in the hydroxycarbamide group vs 28 of 74 patients in the placebo group, p=0·21; and a difference in the mean increase in DTPA glomerular filtration rate in the hydroxycarbamide group versus the placebo group of 2 mL/min per 1·73 m2, p=0·84). Hydroxycarbamide significantly decreased pain (177 events in 62 patients vs 375 events in 75 patients in the placebo group, p=0·002) and dactylitis (24 events in 14 patients vs 123 events in 42 patients in the placebo group, p&lt;0·0001), with some evidence for decreased acute chest syndrome, hospitalisatio…","author":[{"dropping-particle":"","family":"Armstrong","given":"F. Daniel","non-dropping-particle":"","parse-names":false,"suffix":""},{"dropping-particle":"","family":"Emory","given":") ;","non-dropping-particle":"","parse-names":false,"suffix":""},{"dropping-particle":"","family":"Wang","given":"Winfred C.","non-dropping-particle":"","parse-names":false,"suffix":""},{"dropping-particle":"","family":"Ware","given":"Russell E.","non-dropping-particle":"","parse-names":false,"suffix":""},{"dropping-particle":"","family":"Miller","given":"Scott T.","non-dropping-particle":"","parse-names":false,"suffix":""},{"dropping-particle":"V.","family":"Iyer","given":"Rathi","non-dropping-particle":"","parse-names":false,"suffix":""},{"dropping-particle":"","family":"Casella","given":"James F.","non-dropping-particle":"","parse-names":false,"suffix":""},{"dropping-particle":"","family":"Minniti","given":"Caterina P.","non-dropping-particle":"","parse-names":false,"suffix":""},{"dropping-particle":"","family":"Rana","given":"Sohail","non-dropping-particle":"","parse-names":false,"suffix":""},{"dropping-particle":"","family":"Thornburg","given":"Courtney D.","non-dropping-particle":"","parse-names":false,"suffix":""},{"dropping-particle":"","family":"Rogers","given":"Zora R.","non-dropping-particle":"","parse-names":false,"suffix":""},{"dropping-particle":"V.","family":"Kalpatthi","given":"Ram","non-dropping-particle":"","parse-names":false,"suffix":""},{"dropping-particle":"","family":"Barredo","given":"Julio C.","non-dropping-particle":"","parse-names":false,"suffix":""},{"dropping-particle":"","family":"Brown","given":"Clark","non-dropping-particle":"","parse-names":false,"suffix":""},{"dropping-particle":"","family":"Sarnaik","given":"Sharada A.","non-dropping-particle":"","parse-names":false,"suffix":""},{"dropping-particle":"","family":"Howard","given":"Thomas H.","non-dropping-particle":"","parse-names":false,"suffix":""},{"dropping-particle":"","family":"Wynn","given":"Lynn W.","non-dropping-particle":"","parse-names":false,"suffix":""},{"dropping-particle":"","family":"Kutlar","given":"Abdullah","non-dropping-particle":"","parse-names":false,"suffix":""},{"dropping-particle":"","family":"Armstrong","given":"Daniel","non-dropping-particle":"","parse-names":false,"suffix":""},{"dropping-particle":"","family":"Files","given":"Beatrice A.","non-dropping-particle":"","parse-names":false,"suffix":""},{"dropping-particle":"","family":"Goldsmith","given":"Jonathan C.","non-dropping-particle":"","parse-names":false,"suffix":""},{"dropping-particle":"","family":"Waclawiw","given":"Myron A.","non-dropping-particle":"","parse-names":false,"suffix":""},{"dropping-particle":"","family":"Huang","given":"Xiangke","non-dropping-particle":"","parse-names":false,"suffix":""},{"dropping-particle":"","family":"Thompson","given":"Bruce W.","non-dropping-particle":"","parse-names":false,"suffix":""},{"dropping-particle":"","family":"Brown","given":"R. Clark","non-dropping-particle":"","parse-names":false,"suffix":""},{"dropping-particle":"","family":"Sarnaik","given":"Sharada A.","non-dropping-particle":"","parse-names":false,"suffix":""},{"dropping-particle":"","family":"Howard","given":"Thomas H.","non-dropping-particle":"","parse-names":false,"suffix":""},{"dropping-particle":"","family":"Wynn","given":"Lynn W.","non-dropping-particle":"","parse-names":false,"suffix":""},{"dropping-particle":"","family":"Kutlar","given":"Abdullah","non-dropping-particle":"","parse-names":false,"suffix":""},{"dropping-particle":"","family":"Armstrong","given":"F. Daniel","non-dropping-particle":"","parse-names":false,"suffix":""},{"dropping-particle":"","family":"Files","given":"Beatrice A.","non-dropping-particle":"","parse-names":false,"suffix":""},{"dropping-particle":"","family":"Goldsmith","given":"Jonathan C.","non-dropping-particle":"","parse-names":false,"suffix":""},{"dropping-particle":"","family":"Waclawiw","given":"Myron A.","non-dropping-particle":"","parse-names":false,"suffix":""},{"dropping-particle":"","family":"Huang","given":"Xiangke","non-dropping-particle":"","parse-names":false,"suffix":""},{"dropping-particle":"","family":"Thompson","given":"Bruce W.","non-dropping-particle":"","parse-names":false,"suffix":""}],"container-title":"The Lancet","id":"ITEM-1","issue":"9778","issued":{"date-parts":[["2011"]]},"page":"1663-1672","publisher":"Elsevier Ltd","title":"Hydroxycarbamide in very young children with sickle-cell anaemia: A multicentre, randomised, controlled trial (BABY HUG)","type":"article-journal","volume":"377"},"uris":["http://www.mendeley.com/documents/?uuid=3fa6d7ea-31d2-487b-8a01-05f3d6af848d"]}],"mendeley":{"formattedCitation":"&lt;sup&gt;14&lt;/sup&gt;","plainTextFormattedCitation":"14","previouslyFormattedCitation":"&lt;sup&gt;14&lt;/sup&gt;"},"properties":{"noteIndex":0},"schema":"https://github.com/citation-style-language/schema/raw/master/csl-citation.json"}</w:instrText>
      </w:r>
      <w:r w:rsidR="00C969D3" w:rsidRPr="000F1D8D">
        <w:rPr>
          <w:rFonts w:ascii="Arial" w:eastAsia="Arial" w:hAnsi="Arial" w:cs="Arial"/>
          <w:sz w:val="22"/>
          <w:szCs w:val="22"/>
        </w:rPr>
        <w:fldChar w:fldCharType="separate"/>
      </w:r>
      <w:r w:rsidR="00C969D3" w:rsidRPr="000F1D8D">
        <w:rPr>
          <w:rFonts w:ascii="Arial" w:eastAsia="Arial" w:hAnsi="Arial" w:cs="Arial"/>
          <w:noProof/>
          <w:sz w:val="22"/>
          <w:szCs w:val="22"/>
          <w:vertAlign w:val="superscript"/>
        </w:rPr>
        <w:t>14</w:t>
      </w:r>
      <w:r w:rsidR="00C969D3" w:rsidRPr="000F1D8D">
        <w:rPr>
          <w:rFonts w:ascii="Arial" w:eastAsia="Arial" w:hAnsi="Arial" w:cs="Arial"/>
          <w:sz w:val="22"/>
          <w:szCs w:val="22"/>
        </w:rPr>
        <w:fldChar w:fldCharType="end"/>
      </w:r>
      <w:r w:rsidRPr="000F1D8D">
        <w:rPr>
          <w:rFonts w:ascii="Arial" w:eastAsia="Arial" w:hAnsi="Arial" w:cs="Arial"/>
          <w:sz w:val="22"/>
          <w:szCs w:val="22"/>
        </w:rPr>
        <w:t>. Subsequent studies show a more considerable mean increase in hemoglobin of 1.3 g/dL</w:t>
      </w:r>
      <w:r w:rsidR="00F94044" w:rsidRPr="000F1D8D">
        <w:rPr>
          <w:rFonts w:ascii="Arial" w:eastAsia="Arial" w:hAnsi="Arial" w:cs="Arial"/>
          <w:sz w:val="22"/>
          <w:szCs w:val="22"/>
        </w:rPr>
        <w:fldChar w:fldCharType="begin" w:fldLock="1"/>
      </w:r>
      <w:r w:rsidR="009C0C74" w:rsidRPr="000F1D8D">
        <w:rPr>
          <w:rFonts w:ascii="Arial" w:eastAsia="Arial" w:hAnsi="Arial" w:cs="Arial"/>
          <w:sz w:val="22"/>
          <w:szCs w:val="22"/>
        </w:rPr>
        <w:instrText>ADDIN CSL_CITATION {"citationItems":[{"id":"ITEM-1","itemData":{"DOI":"10.1016/j.jpeds.2009.09.044","ISSN":"00223476","abstract":"Objectives: To assess adherence to hydroxyurea therapy in children with sickle cell anemia (SCA), evaluate the association between adherence and hematologic profile, and identify barriers and facilitators of adherence. Study design: Children with SCA (n=75) receiving hydroxyurea were recruited for a single-institution cross-sectional study. The primary outcome was association between treatment adherence and percent fetal hemoglobin (HbF). Results: Good adherence was estimated at 82% with visual analog scale, 84% with Morisky score, 85% with medical provider report, 77% with clinic visits, and 49% on the basis of pharmacy refills. Increase in HbF was moderately associated with good adherence as measured with the parent/proxy Morisky score (r=-0.39; 95% CI, -0.58-0.17; P &lt; .01) and prescription refills (r=0.39; 95% CI, 0.16-0.57; P &lt; .01). The number of pharmacy refills and the Morisky score explained 23% of the variation in HbF response. Conclusions: Adherence was ≥75% with 4 of 5 measures. Pharmacy refills and the Modified Morisky Scale may be used to identify children at high risk for poor response because of non-adherence and children with good adherence with poor response because of individual pharmacodynamics. Future research should prospectively compare adherence measures and evaluate methods to improve treatment adherence. © 2010 Mosby, Inc. All rights reserved.","author":[{"dropping-particle":"","family":"Thornburg","given":"Courtney D.","non-dropping-particle":"","parse-names":false,"suffix":""},{"dropping-particle":"","family":"Calatroni","given":"Agustin","non-dropping-particle":"","parse-names":false,"suffix":""},{"dropping-particle":"","family":"Telen","given":"Marilyn","non-dropping-particle":"","parse-names":false,"suffix":""},{"dropping-particle":"","family":"Kemper","given":"Alex R.","non-dropping-particle":"","parse-names":false,"suffix":""}],"container-title":"Journal of Pediatrics","id":"ITEM-1","issue":"3","issued":{"date-parts":[["2010"]]},"page":"415-419","publisher":"Mosby, Inc.","title":"Adherence to Hydroxyurea Therapy in Children with Sickle Cell Anemia","type":"article-journal","volume":"156"},"uris":["http://www.mendeley.com/documents/?uuid=5f87b5d0-689b-42cd-82ad-3c8526d12da5"]}],"mendeley":{"formattedCitation":"&lt;sup&gt;23&lt;/sup&gt;","plainTextFormattedCitation":"23","previouslyFormattedCitation":"&lt;sup&gt;23&lt;/sup&gt;"},"properties":{"noteIndex":0},"schema":"https://github.com/citation-style-language/schema/raw/master/csl-citation.json"}</w:instrText>
      </w:r>
      <w:r w:rsidR="00F94044" w:rsidRPr="000F1D8D">
        <w:rPr>
          <w:rFonts w:ascii="Arial" w:eastAsia="Arial" w:hAnsi="Arial" w:cs="Arial"/>
          <w:sz w:val="22"/>
          <w:szCs w:val="22"/>
        </w:rPr>
        <w:fldChar w:fldCharType="separate"/>
      </w:r>
      <w:r w:rsidR="00F94044" w:rsidRPr="000F1D8D">
        <w:rPr>
          <w:rFonts w:ascii="Arial" w:eastAsia="Arial" w:hAnsi="Arial" w:cs="Arial"/>
          <w:noProof/>
          <w:sz w:val="22"/>
          <w:szCs w:val="22"/>
          <w:vertAlign w:val="superscript"/>
        </w:rPr>
        <w:t>23</w:t>
      </w:r>
      <w:r w:rsidR="00F94044" w:rsidRPr="000F1D8D">
        <w:rPr>
          <w:rFonts w:ascii="Arial" w:eastAsia="Arial" w:hAnsi="Arial" w:cs="Arial"/>
          <w:sz w:val="22"/>
          <w:szCs w:val="22"/>
        </w:rPr>
        <w:fldChar w:fldCharType="end"/>
      </w:r>
      <w:r w:rsidRPr="000F1D8D">
        <w:rPr>
          <w:rFonts w:ascii="Arial" w:eastAsia="Arial" w:hAnsi="Arial" w:cs="Arial"/>
          <w:sz w:val="22"/>
          <w:szCs w:val="22"/>
        </w:rPr>
        <w:t>.</w:t>
      </w:r>
      <w:r w:rsidR="00F94044" w:rsidRPr="000F1D8D">
        <w:rPr>
          <w:rFonts w:ascii="Arial" w:eastAsia="Arial" w:hAnsi="Arial" w:cs="Arial"/>
          <w:sz w:val="22"/>
          <w:szCs w:val="22"/>
        </w:rPr>
        <w:t xml:space="preserve"> </w:t>
      </w:r>
      <w:r w:rsidRPr="000F1D8D">
        <w:rPr>
          <w:rFonts w:ascii="Arial" w:eastAsia="Arial" w:hAnsi="Arial" w:cs="Arial"/>
          <w:sz w:val="22"/>
          <w:szCs w:val="22"/>
        </w:rPr>
        <w:t xml:space="preserve">Our study shows a mild increase of 0.34g/dL ± 0.91 (p=0.02) among our patients after initiating LHU. The mild improvement is consistent with previous studies. This could be explained by the fact that HU dose titrations lasted six months in the trial compared to our post-initiation values, which were recorded as early as three months for some patients. </w:t>
      </w:r>
      <w:sdt>
        <w:sdtPr>
          <w:rPr>
            <w:rFonts w:ascii="Arial" w:hAnsi="Arial" w:cs="Arial"/>
            <w:sz w:val="22"/>
            <w:szCs w:val="22"/>
          </w:rPr>
          <w:tag w:val="goog_rdk_66"/>
          <w:id w:val="-1806457214"/>
        </w:sdtPr>
        <w:sdtEndPr/>
        <w:sdtContent/>
      </w:sdt>
      <w:r w:rsidRPr="000F1D8D">
        <w:rPr>
          <w:rFonts w:ascii="Arial" w:eastAsia="Arial" w:hAnsi="Arial" w:cs="Arial"/>
          <w:sz w:val="22"/>
          <w:szCs w:val="22"/>
        </w:rPr>
        <w:t xml:space="preserve">Additionally, 34% of our patients were not </w:t>
      </w:r>
      <w:sdt>
        <w:sdtPr>
          <w:rPr>
            <w:rFonts w:ascii="Arial" w:hAnsi="Arial" w:cs="Arial"/>
            <w:sz w:val="22"/>
            <w:szCs w:val="22"/>
          </w:rPr>
          <w:tag w:val="goog_rdk_67"/>
          <w:id w:val="829483086"/>
        </w:sdtPr>
        <w:sdtEndPr/>
        <w:sdtContent/>
      </w:sdt>
      <w:r w:rsidRPr="000F1D8D">
        <w:rPr>
          <w:rFonts w:ascii="Arial" w:eastAsia="Arial" w:hAnsi="Arial" w:cs="Arial"/>
          <w:sz w:val="22"/>
          <w:szCs w:val="22"/>
        </w:rPr>
        <w:t xml:space="preserve">“naïve” to LHU; thus, maximal response to HU may have occurred at another point not captured by our data. Importantly, patients with a greater than one g/dL increase in Hg belong to the “naïve” group. </w:t>
      </w:r>
    </w:p>
    <w:p w14:paraId="5111E54E" w14:textId="46D8932D" w:rsidR="00A87D76" w:rsidRPr="000F1D8D" w:rsidRDefault="00A87D76" w:rsidP="00EE5008">
      <w:pPr>
        <w:spacing w:line="480" w:lineRule="auto"/>
        <w:ind w:firstLine="720"/>
        <w:jc w:val="both"/>
        <w:rPr>
          <w:rFonts w:ascii="Arial" w:eastAsia="Arial" w:hAnsi="Arial" w:cs="Arial"/>
          <w:sz w:val="22"/>
          <w:szCs w:val="22"/>
        </w:rPr>
      </w:pPr>
      <w:r w:rsidRPr="000F1D8D">
        <w:rPr>
          <w:rFonts w:ascii="Arial" w:eastAsia="Arial" w:hAnsi="Arial" w:cs="Arial"/>
          <w:sz w:val="22"/>
          <w:szCs w:val="22"/>
        </w:rPr>
        <w:t>Besides affecting hemoglobin, HU also induces fetal hemoglobin (</w:t>
      </w:r>
      <w:proofErr w:type="spellStart"/>
      <w:r w:rsidRPr="000F1D8D">
        <w:rPr>
          <w:rFonts w:ascii="Arial" w:eastAsia="Arial" w:hAnsi="Arial" w:cs="Arial"/>
          <w:sz w:val="22"/>
          <w:szCs w:val="22"/>
        </w:rPr>
        <w:t>HbF</w:t>
      </w:r>
      <w:proofErr w:type="spellEnd"/>
      <w:r w:rsidRPr="000F1D8D">
        <w:rPr>
          <w:rFonts w:ascii="Arial" w:eastAsia="Arial" w:hAnsi="Arial" w:cs="Arial"/>
          <w:sz w:val="22"/>
          <w:szCs w:val="22"/>
        </w:rPr>
        <w:t>), which reduces the intracellular concentration of sickled hemoglobin (</w:t>
      </w:r>
      <w:proofErr w:type="spellStart"/>
      <w:r w:rsidRPr="000F1D8D">
        <w:rPr>
          <w:rFonts w:ascii="Arial" w:eastAsia="Arial" w:hAnsi="Arial" w:cs="Arial"/>
          <w:sz w:val="22"/>
          <w:szCs w:val="22"/>
        </w:rPr>
        <w:t>HbS</w:t>
      </w:r>
      <w:proofErr w:type="spellEnd"/>
      <w:r w:rsidRPr="000F1D8D">
        <w:rPr>
          <w:rFonts w:ascii="Arial" w:eastAsia="Arial" w:hAnsi="Arial" w:cs="Arial"/>
          <w:sz w:val="22"/>
          <w:szCs w:val="22"/>
        </w:rPr>
        <w:t xml:space="preserve">) and inhibits the formation of the sickle polymer, thus prolonging erythrocyte survival—changes in </w:t>
      </w:r>
      <w:proofErr w:type="spellStart"/>
      <w:r w:rsidRPr="000F1D8D">
        <w:rPr>
          <w:rFonts w:ascii="Arial" w:eastAsia="Arial" w:hAnsi="Arial" w:cs="Arial"/>
          <w:sz w:val="22"/>
          <w:szCs w:val="22"/>
        </w:rPr>
        <w:t>HbF</w:t>
      </w:r>
      <w:proofErr w:type="spellEnd"/>
      <w:r w:rsidRPr="000F1D8D">
        <w:rPr>
          <w:rFonts w:ascii="Arial" w:eastAsia="Arial" w:hAnsi="Arial" w:cs="Arial"/>
          <w:sz w:val="22"/>
          <w:szCs w:val="22"/>
        </w:rPr>
        <w:t xml:space="preserve"> percentages after HU initiation range from 3.2-15.5%</w:t>
      </w:r>
      <w:r w:rsidR="009C0C74" w:rsidRPr="000F1D8D">
        <w:rPr>
          <w:rFonts w:ascii="Arial" w:eastAsia="Arial" w:hAnsi="Arial" w:cs="Arial"/>
          <w:sz w:val="22"/>
          <w:szCs w:val="22"/>
          <w:vertAlign w:val="superscript"/>
        </w:rPr>
        <w:fldChar w:fldCharType="begin" w:fldLock="1"/>
      </w:r>
      <w:r w:rsidR="001F3328" w:rsidRPr="000F1D8D">
        <w:rPr>
          <w:rFonts w:ascii="Arial" w:eastAsia="Arial" w:hAnsi="Arial" w:cs="Arial"/>
          <w:sz w:val="22"/>
          <w:szCs w:val="22"/>
          <w:vertAlign w:val="superscript"/>
        </w:rPr>
        <w:instrText>ADDIN CSL_CITATION {"citationItems":[{"id":"ITEM-1","itemData":{"DOI":"10.1016/j.jpeds.2009.09.044","ISSN":"00223476","abstract":"Objectives: To assess adherence to hydroxyurea therapy in children with sickle cell anemia (SCA), evaluate the association between adherence and hematologic profile, and identify barriers and facilitators of adherence. Study design: Children with SCA (n=75) receiving hydroxyurea were recruited for a single-institution cross-sectional study. The primary outcome was association between treatment adherence and percent fetal hemoglobin (HbF). Results: Good adherence was estimated at 82% with visual analog scale, 84% with Morisky score, 85% with medical provider report, 77% with clinic visits, and 49% on the basis of pharmacy refills. Increase in HbF was moderately associated with good adherence as measured with the parent/proxy Morisky score (r=-0.39; 95% CI, -0.58-0.17; P &lt; .01) and prescription refills (r=0.39; 95% CI, 0.16-0.57; P &lt; .01). The number of pharmacy refills and the Morisky score explained 23% of the variation in HbF response. Conclusions: Adherence was ≥75% with 4 of 5 measures. Pharmacy refills and the Modified Morisky Scale may be used to identify children at high risk for poor response because of non-adherence and children with good adherence with poor response because of individual pharmacodynamics. Future research should prospectively compare adherence measures and evaluate methods to improve treatment adherence. © 2010 Mosby, Inc. All rights reserved.","author":[{"dropping-particle":"","family":"Thornburg","given":"Courtney D.","non-dropping-particle":"","parse-names":false,"suffix":""},{"dropping-particle":"","family":"Calatroni","given":"Agustin","non-dropping-particle":"","parse-names":false,"suffix":""},{"dropping-particle":"","family":"Telen","given":"Marilyn","non-dropping-particle":"","parse-names":false,"suffix":""},{"dropping-particle":"","family":"Kemper","given":"Alex R.","non-dropping-particle":"","parse-names":false,"suffix":""}],"container-title":"Journal of Pediatrics","id":"ITEM-1","issue":"3","issued":{"date-parts":[["2010"]]},"page":"415-419","publisher":"Mosby, Inc.","title":"Adherence to Hydroxyurea Therapy in Children with Sickle Cell Anemia","type":"article-journal","volume":"156"},"uris":["http://www.mendeley.com/documents/?uuid=5f87b5d0-689b-42cd-82ad-3c8526d12da5"]}],"mendeley":{"formattedCitation":"&lt;sup&gt;23&lt;/sup&gt;","plainTextFormattedCitation":"23","previouslyFormattedCitation":"&lt;sup&gt;23&lt;/sup&gt;"},"properties":{"noteIndex":0},"schema":"https://github.com/citation-style-language/schema/raw/master/csl-citation.json"}</w:instrText>
      </w:r>
      <w:r w:rsidR="009C0C74" w:rsidRPr="000F1D8D">
        <w:rPr>
          <w:rFonts w:ascii="Arial" w:eastAsia="Arial" w:hAnsi="Arial" w:cs="Arial"/>
          <w:sz w:val="22"/>
          <w:szCs w:val="22"/>
          <w:vertAlign w:val="superscript"/>
        </w:rPr>
        <w:fldChar w:fldCharType="separate"/>
      </w:r>
      <w:r w:rsidR="009C0C74" w:rsidRPr="000F1D8D">
        <w:rPr>
          <w:rFonts w:ascii="Arial" w:eastAsia="Arial" w:hAnsi="Arial" w:cs="Arial"/>
          <w:noProof/>
          <w:sz w:val="22"/>
          <w:szCs w:val="22"/>
          <w:vertAlign w:val="superscript"/>
        </w:rPr>
        <w:t>23</w:t>
      </w:r>
      <w:r w:rsidR="009C0C74" w:rsidRPr="000F1D8D">
        <w:rPr>
          <w:rFonts w:ascii="Arial" w:eastAsia="Arial" w:hAnsi="Arial" w:cs="Arial"/>
          <w:sz w:val="22"/>
          <w:szCs w:val="22"/>
          <w:vertAlign w:val="superscript"/>
        </w:rPr>
        <w:fldChar w:fldCharType="end"/>
      </w:r>
      <w:r w:rsidR="001F3328" w:rsidRPr="000F1D8D">
        <w:rPr>
          <w:rFonts w:ascii="Arial" w:eastAsia="Arial" w:hAnsi="Arial" w:cs="Arial"/>
          <w:sz w:val="22"/>
          <w:szCs w:val="22"/>
          <w:vertAlign w:val="superscript"/>
        </w:rPr>
        <w:t>,</w:t>
      </w:r>
      <w:r w:rsidR="001F3328" w:rsidRPr="000F1D8D">
        <w:rPr>
          <w:rFonts w:ascii="Arial" w:eastAsia="Arial" w:hAnsi="Arial" w:cs="Arial"/>
          <w:sz w:val="22"/>
          <w:szCs w:val="22"/>
          <w:vertAlign w:val="superscript"/>
        </w:rPr>
        <w:fldChar w:fldCharType="begin" w:fldLock="1"/>
      </w:r>
      <w:r w:rsidR="00000432" w:rsidRPr="000F1D8D">
        <w:rPr>
          <w:rFonts w:ascii="Arial" w:eastAsia="Arial" w:hAnsi="Arial" w:cs="Arial"/>
          <w:sz w:val="22"/>
          <w:szCs w:val="22"/>
          <w:vertAlign w:val="superscript"/>
        </w:rPr>
        <w:instrText>ADDIN CSL_CITATION {"citationItems":[{"id":"ITEM-1","itemData":{"DOI":"10.1097/CCM.0b013e31823da96d.Hydrogen","abstract":"Background—For children with sickle cell anaemia and elevated transcranial Doppler (TCD) flow velocities, regular blood transfusions effectively prevent primary stroke, but must be continued indefinitely. The efficacy of hydroxyurea in this setting is unknown. Methods—TWiTCH was a multicentre Phase III randomised open label, non-inferiority trial comparing standard treatment (transfusions) to alternative treatment (hydroxyurea) in children with abnormal TCD velocities but no severe vasculopathy. Iron overload was managed with chelation (Standard Arm) and serial phlebotomy (Alternative Arm). The primary study endpoint was the 24-month TCD velocity calculated from a general linear mixed model, with non- inferiority margin = 15 cm/sec. Findings—Among 121 randomised participants (61 transfusions, 60 hydroxyurea), children on transfusions maintained &lt;30% sickle haemoglobin, while those taking hydroxyurea (mean 27 mg/kg/day) averaged 25% fetal haemoglobin. The first scheduled interim analysis demonstrated non-inferiority, and the sponsor terminated the study. Final model-based TCD velocities (mean ± standard error) on Standard versus Alternative Arm were 143 ± 1.6 and 138 ± 1.6 cm/sec, respectively, with difference (95% CI) = 4.54 (0.10, 8.98), non-inferiority p=8.82 × 10−16 and post-hoc superiority p=0.023. Among 29 new neurological events adjudicated centrally by masked reviewers, no strokes occurred but there were 3 transient ischaemic attacks per arm. Exit brain MRI/MRA revealed no new cerebral infarcts in either arm, but worse vasculopathy in one participant (Standard Arm). Iron burden decreased more in the Alternative Arm, with ferritin difference −1047 ng/mL (−1524, −570), p&lt;0.001 and liver iron difference −4.3 mg Fe/gm dry weight (−6.1, −2.5), p=0.001. Interpretation—For high-risk children with sickle cell anaemia and abnormal TCD velocities, after four years of transfusions and without severe MRA vasculopathy, hydroxyurea therapy can substitute for chronic transfusions to maintain TCD velocities and help prevent primary stroke.","author":[{"dropping-particle":"","family":"Ware","given":"RE","non-dropping-particle":"","parse-names":false,"suffix":""},{"dropping-particle":"","family":"Davis","given":"BR","non-dropping-particle":"","parse-names":false,"suffix":""},{"dropping-particle":"","family":"Schultz","given":"WH","non-dropping-particle":"","parse-names":false,"suffix":""},{"dropping-particle":"","family":"et al","given":"","non-dropping-particle":"","parse-names":false,"suffix":""}],"container-title":"Lancet","id":"ITEM-1","issue":"10019","issued":{"date-parts":[["2016"]]},"page":"661-670","title":"TCD With Transfusions Changing to Hydroxyurea (TWiTCH): a multicentre, randomised controlled trial","type":"article-journal","volume":"387"},"uris":["http://www.mendeley.com/documents/?uuid=256386a0-68a7-4be8-af91-c44587b6ec95"]}],"mendeley":{"formattedCitation":"&lt;sup&gt;28&lt;/sup&gt;","plainTextFormattedCitation":"28","previouslyFormattedCitation":"&lt;sup&gt;28&lt;/sup&gt;"},"properties":{"noteIndex":0},"schema":"https://github.com/citation-style-language/schema/raw/master/csl-citation.json"}</w:instrText>
      </w:r>
      <w:r w:rsidR="001F3328" w:rsidRPr="000F1D8D">
        <w:rPr>
          <w:rFonts w:ascii="Arial" w:eastAsia="Arial" w:hAnsi="Arial" w:cs="Arial"/>
          <w:sz w:val="22"/>
          <w:szCs w:val="22"/>
          <w:vertAlign w:val="superscript"/>
        </w:rPr>
        <w:fldChar w:fldCharType="separate"/>
      </w:r>
      <w:r w:rsidR="001F3328" w:rsidRPr="000F1D8D">
        <w:rPr>
          <w:rFonts w:ascii="Arial" w:eastAsia="Arial" w:hAnsi="Arial" w:cs="Arial"/>
          <w:noProof/>
          <w:sz w:val="22"/>
          <w:szCs w:val="22"/>
          <w:vertAlign w:val="superscript"/>
        </w:rPr>
        <w:t>28</w:t>
      </w:r>
      <w:r w:rsidR="001F3328" w:rsidRPr="000F1D8D">
        <w:rPr>
          <w:rFonts w:ascii="Arial" w:eastAsia="Arial" w:hAnsi="Arial" w:cs="Arial"/>
          <w:sz w:val="22"/>
          <w:szCs w:val="22"/>
          <w:vertAlign w:val="superscript"/>
        </w:rPr>
        <w:fldChar w:fldCharType="end"/>
      </w:r>
      <w:r w:rsidR="00000432" w:rsidRPr="000F1D8D">
        <w:rPr>
          <w:rFonts w:ascii="Arial" w:eastAsia="Arial" w:hAnsi="Arial" w:cs="Arial"/>
          <w:sz w:val="22"/>
          <w:szCs w:val="22"/>
          <w:vertAlign w:val="superscript"/>
        </w:rPr>
        <w:t>,</w:t>
      </w:r>
      <w:r w:rsidR="00000432" w:rsidRPr="000F1D8D">
        <w:rPr>
          <w:rFonts w:ascii="Arial" w:eastAsia="Arial" w:hAnsi="Arial" w:cs="Arial"/>
          <w:sz w:val="22"/>
          <w:szCs w:val="22"/>
          <w:vertAlign w:val="superscript"/>
        </w:rPr>
        <w:fldChar w:fldCharType="begin" w:fldLock="1"/>
      </w:r>
      <w:r w:rsidR="0094493A" w:rsidRPr="000F1D8D">
        <w:rPr>
          <w:rFonts w:ascii="Arial" w:eastAsia="Arial" w:hAnsi="Arial" w:cs="Arial"/>
          <w:sz w:val="22"/>
          <w:szCs w:val="22"/>
          <w:vertAlign w:val="superscript"/>
        </w:rPr>
        <w:instrText>ADDIN CSL_CITATION {"citationItems":[{"id":"ITEM-1","itemData":{"DOI":"10.1111/bjh.12323","abstract":"Although evidence is accumulating that hydroxycarbamide decreases mortality among adults with sickle cell disease (SCD), there are no published data regarding the effect of hydroxycarbamide on mortality among children. The Paediatric Hydroxycarbamide Program was established to treat children with SCD aged 3-18 years if they met disease severity criteria. Mortality data and clinical/laboratorial effects of hydroxycarbamide were retrospectively collected for the first 9 years of the Program. Mortality among those who received hydroxycarbamide was compared to that of untreated children. Among 1760 subjects, 267 received hydroxycarbamide at a median dose of 20Á8 mg/kg/d (range 10-32) for a median of 2 years (range 0Á1-6Á5). Survival among hydroxycarbamide-treated children was significantly greater than that among untreated ones (99Á5% vs. 94Á5%, P = 0Á01), due primarily to fewer deaths from acute chest syndrome and infection. Hydroxycarbamide therapy was significantly associated with increases in haemoglobin concentration, fetal haemoglobin, mean corpus-cular volume, and reduction in platelet counts, reticulocytes and neutroph-ils. Toxicity was minimal and predominantly mild reversible neutropenia. Significantly fewer hospitalizations and emergency room visits, and shorter admissions were observed among hydroxycarbamide-treated subjects, when compared to the 12-month period prior to treatment initiation. Hydroxyc-arbamide therapy reduces disease severity and is probably associated with decreased mortality among children with SCD.","author":[{"dropping-particle":"","family":"Lopes","given":"Clarisse","non-dropping-particle":"","parse-names":false,"suffix":""},{"dropping-particle":"","family":"Lobo","given":"Castro","non-dropping-particle":"","parse-names":false,"suffix":""},{"dropping-particle":"","family":"Pinto","given":"Jorge F C","non-dropping-particle":"","parse-names":false,"suffix":""},{"dropping-particle":"","family":"Nascimento","given":"Emilia M","non-dropping-particle":"","parse-names":false,"suffix":""},{"dropping-particle":"","family":"Moura","given":"Patricia G","non-dropping-particle":"","parse-names":false,"suffix":""},{"dropping-particle":"","family":"Cardoso","given":"Gilberto P","non-dropping-particle":"","parse-names":false,"suffix":""},{"dropping-particle":"","family":"Hankins","given":"Jane S","non-dropping-particle":"","parse-names":false,"suffix":""},{"dropping-particle":"","family":"Hankins","given":"Jane","non-dropping-particle":"","parse-names":false,"suffix":""}],"id":"ITEM-1","issued":{"date-parts":[["0"]]},"title":"The effect of hydroxcarbamide therapy on survival of children with sickle cell disease","type":"article-journal"},"uris":["http://www.mendeley.com/documents/?uuid=cfd938d8-83ab-33e9-96d0-9fd70488217d"]}],"mendeley":{"formattedCitation":"&lt;sup&gt;29&lt;/sup&gt;","plainTextFormattedCitation":"29","previouslyFormattedCitation":"&lt;sup&gt;29&lt;/sup&gt;"},"properties":{"noteIndex":0},"schema":"https://github.com/citation-style-language/schema/raw/master/csl-citation.json"}</w:instrText>
      </w:r>
      <w:r w:rsidR="00000432" w:rsidRPr="000F1D8D">
        <w:rPr>
          <w:rFonts w:ascii="Arial" w:eastAsia="Arial" w:hAnsi="Arial" w:cs="Arial"/>
          <w:sz w:val="22"/>
          <w:szCs w:val="22"/>
          <w:vertAlign w:val="superscript"/>
        </w:rPr>
        <w:fldChar w:fldCharType="separate"/>
      </w:r>
      <w:r w:rsidR="00000432" w:rsidRPr="000F1D8D">
        <w:rPr>
          <w:rFonts w:ascii="Arial" w:eastAsia="Arial" w:hAnsi="Arial" w:cs="Arial"/>
          <w:noProof/>
          <w:sz w:val="22"/>
          <w:szCs w:val="22"/>
          <w:vertAlign w:val="superscript"/>
        </w:rPr>
        <w:t>29</w:t>
      </w:r>
      <w:r w:rsidR="00000432" w:rsidRPr="000F1D8D">
        <w:rPr>
          <w:rFonts w:ascii="Arial" w:eastAsia="Arial" w:hAnsi="Arial" w:cs="Arial"/>
          <w:sz w:val="22"/>
          <w:szCs w:val="22"/>
          <w:vertAlign w:val="superscript"/>
        </w:rPr>
        <w:fldChar w:fldCharType="end"/>
      </w:r>
      <w:r w:rsidRPr="000F1D8D">
        <w:rPr>
          <w:rFonts w:ascii="Arial" w:eastAsia="Arial" w:hAnsi="Arial" w:cs="Arial"/>
          <w:sz w:val="22"/>
          <w:szCs w:val="22"/>
        </w:rPr>
        <w:t xml:space="preserve">. In our study, fetal hemoglobin levels increased by 1.34% ± 6.4 (p=0.26) among all patients. Although not statistically significant, this could be due to our population composition (half of the patients were &lt;4 years old at initiation of LHU (66%)), prior exposure to HU, and time of collection of laboratory values. In this younger population, high baseline levels of </w:t>
      </w:r>
      <w:proofErr w:type="spellStart"/>
      <w:r w:rsidRPr="000F1D8D">
        <w:rPr>
          <w:rFonts w:ascii="Arial" w:eastAsia="Arial" w:hAnsi="Arial" w:cs="Arial"/>
          <w:sz w:val="22"/>
          <w:szCs w:val="22"/>
        </w:rPr>
        <w:t>HbF</w:t>
      </w:r>
      <w:proofErr w:type="spellEnd"/>
      <w:r w:rsidRPr="000F1D8D">
        <w:rPr>
          <w:rFonts w:ascii="Arial" w:eastAsia="Arial" w:hAnsi="Arial" w:cs="Arial"/>
          <w:sz w:val="22"/>
          <w:szCs w:val="22"/>
        </w:rPr>
        <w:t xml:space="preserve"> combined with cumulative effects of naturally falling levels of </w:t>
      </w:r>
      <w:proofErr w:type="spellStart"/>
      <w:r w:rsidRPr="000F1D8D">
        <w:rPr>
          <w:rFonts w:ascii="Arial" w:eastAsia="Arial" w:hAnsi="Arial" w:cs="Arial"/>
          <w:sz w:val="22"/>
          <w:szCs w:val="22"/>
        </w:rPr>
        <w:t>HbF</w:t>
      </w:r>
      <w:proofErr w:type="spellEnd"/>
      <w:r w:rsidRPr="000F1D8D">
        <w:rPr>
          <w:rFonts w:ascii="Arial" w:eastAsia="Arial" w:hAnsi="Arial" w:cs="Arial"/>
          <w:sz w:val="22"/>
          <w:szCs w:val="22"/>
        </w:rPr>
        <w:t xml:space="preserve"> in the first years of life may blunt the rate of </w:t>
      </w:r>
      <w:proofErr w:type="spellStart"/>
      <w:r w:rsidRPr="000F1D8D">
        <w:rPr>
          <w:rFonts w:ascii="Arial" w:eastAsia="Arial" w:hAnsi="Arial" w:cs="Arial"/>
          <w:sz w:val="22"/>
          <w:szCs w:val="22"/>
        </w:rPr>
        <w:t>HbF</w:t>
      </w:r>
      <w:proofErr w:type="spellEnd"/>
      <w:r w:rsidRPr="000F1D8D">
        <w:rPr>
          <w:rFonts w:ascii="Arial" w:eastAsia="Arial" w:hAnsi="Arial" w:cs="Arial"/>
          <w:sz w:val="22"/>
          <w:szCs w:val="22"/>
        </w:rPr>
        <w:t xml:space="preserve"> increase by HU</w:t>
      </w:r>
      <w:r w:rsidR="0094493A" w:rsidRPr="000F1D8D">
        <w:rPr>
          <w:rFonts w:ascii="Arial" w:eastAsia="Arial" w:hAnsi="Arial" w:cs="Arial"/>
          <w:sz w:val="22"/>
          <w:szCs w:val="22"/>
        </w:rPr>
        <w:fldChar w:fldCharType="begin" w:fldLock="1"/>
      </w:r>
      <w:r w:rsidR="00C34F95" w:rsidRPr="000F1D8D">
        <w:rPr>
          <w:rFonts w:ascii="Arial" w:eastAsia="Arial" w:hAnsi="Arial" w:cs="Arial"/>
          <w:sz w:val="22"/>
          <w:szCs w:val="22"/>
        </w:rPr>
        <w:instrText>ADDIN CSL_CITATION {"citationItems":[{"id":"ITEM-1","itemData":{"DOI":"10.1002/ajh.24587","ISSN":"10968652","PMID":"27761932","abstract":"The clinical efficacy of hydroxyurea in patients with sickle cell anemia (SCA) has been well established. However, data about its clinical effectiveness in practice is limited. We evaluated the clinical effectiveness of hydroxyurea in a large pediatric population using a retrospective cohort, pre-post treatment study design to control for disease severity selection bias. The cohort included children with SCA (SS, Sβ0thalassemia) who received care at Children's Healthcare of Atlanta (CHOA) and who initiated hydroxyurea in 2009-2011. Children on chronic transfusions, or children with inadequate follow up data and/or children who had taken hydroxyurea in the 3 years prior were excluded. For each patient healthcare utilization, laboratory values, and clinical outcomes for the 2-year period prior to hydroxyurea initiation were compared to those 2 years after initiation. Of 211 children with SCA who initiated hydroxyurea in 2009–2011, 134 met eligibility criteria. After initiation of hydroxyurea, rates of hospitalizations, pain encounters, and emergency department visits were reduced by 47% (&lt;0.0001), 36% (P = 0.0001) and 43% (P &lt; 0.0001), respectively. Average hemoglobin levels increased by 0.7 g/dl (P &lt; 0.0001). Hydroxyurea effectiveness was similar across gender, insurance types and age, although there was a slightly greater reduction in hospitalizations in younger children. Am. J. Hematol. 92:77–81, 2017. © 2016 Wiley Periodicals, Inc.","author":[{"dropping-particle":"","family":"Quarmyne","given":"Maa Ohui","non-dropping-particle":"","parse-names":false,"suffix":""},{"dropping-particle":"","family":"Dong","given":"Wei","non-dropping-particle":"","parse-names":false,"suffix":""},{"dropping-particle":"","family":"Theodore","given":"Rodney","non-dropping-particle":"","parse-names":false,"suffix":""},{"dropping-particle":"","family":"Anand","given":"Sonia","non-dropping-particle":"","parse-names":false,"suffix":""},{"dropping-particle":"","family":"Barry","given":"Vaughn","non-dropping-particle":"","parse-names":false,"suffix":""},{"dropping-particle":"","family":"Adisa","given":"Olufolake","non-dropping-particle":"","parse-names":false,"suffix":""},{"dropping-particle":"","family":"Buchanan","given":"Iris D.","non-dropping-particle":"","parse-names":false,"suffix":""},{"dropping-particle":"","family":"Bost","given":"James","non-dropping-particle":"","parse-names":false,"suffix":""},{"dropping-particle":"","family":"Brown","given":"Robert C.","non-dropping-particle":"","parse-names":false,"suffix":""},{"dropping-particle":"","family":"Joiner","given":"Clinton H.","non-dropping-particle":"","parse-names":false,"suffix":""},{"dropping-particle":"","family":"Lane","given":"Peter A.","non-dropping-particle":"","parse-names":false,"suffix":""}],"container-title":"American Journal of Hematology","id":"ITEM-1","issue":"1","issued":{"date-parts":[["2017"]]},"page":"77-81","title":"Hydroxyurea effectiveness in children and adolescents with sickle cell anemia: A large retrospective, population-based cohort","type":"article-journal","volume":"92"},"uris":["http://www.mendeley.com/documents/?uuid=9544da9d-4978-42cd-a112-728b6f6c9e5d"]}],"mendeley":{"formattedCitation":"&lt;sup&gt;30&lt;/sup&gt;","plainTextFormattedCitation":"30","previouslyFormattedCitation":"&lt;sup&gt;30&lt;/sup&gt;"},"properties":{"noteIndex":0},"schema":"https://github.com/citation-style-language/schema/raw/master/csl-citation.json"}</w:instrText>
      </w:r>
      <w:r w:rsidR="0094493A" w:rsidRPr="000F1D8D">
        <w:rPr>
          <w:rFonts w:ascii="Arial" w:eastAsia="Arial" w:hAnsi="Arial" w:cs="Arial"/>
          <w:sz w:val="22"/>
          <w:szCs w:val="22"/>
        </w:rPr>
        <w:fldChar w:fldCharType="separate"/>
      </w:r>
      <w:r w:rsidR="0094493A" w:rsidRPr="000F1D8D">
        <w:rPr>
          <w:rFonts w:ascii="Arial" w:eastAsia="Arial" w:hAnsi="Arial" w:cs="Arial"/>
          <w:noProof/>
          <w:sz w:val="22"/>
          <w:szCs w:val="22"/>
          <w:vertAlign w:val="superscript"/>
        </w:rPr>
        <w:t>30</w:t>
      </w:r>
      <w:r w:rsidR="0094493A" w:rsidRPr="000F1D8D">
        <w:rPr>
          <w:rFonts w:ascii="Arial" w:eastAsia="Arial" w:hAnsi="Arial" w:cs="Arial"/>
          <w:sz w:val="22"/>
          <w:szCs w:val="22"/>
        </w:rPr>
        <w:fldChar w:fldCharType="end"/>
      </w:r>
      <w:r w:rsidRPr="000F1D8D">
        <w:rPr>
          <w:rFonts w:ascii="Arial" w:eastAsia="Arial" w:hAnsi="Arial" w:cs="Arial"/>
          <w:i/>
          <w:sz w:val="22"/>
          <w:szCs w:val="22"/>
        </w:rPr>
        <w:t xml:space="preserve">. </w:t>
      </w:r>
      <w:r w:rsidRPr="000F1D8D">
        <w:rPr>
          <w:rFonts w:ascii="Arial" w:eastAsia="Arial" w:hAnsi="Arial" w:cs="Arial"/>
          <w:sz w:val="22"/>
          <w:szCs w:val="22"/>
        </w:rPr>
        <w:t xml:space="preserve">Also, </w:t>
      </w:r>
      <w:proofErr w:type="spellStart"/>
      <w:r w:rsidRPr="000F1D8D">
        <w:rPr>
          <w:rFonts w:ascii="Arial" w:eastAsia="Arial" w:hAnsi="Arial" w:cs="Arial"/>
          <w:sz w:val="22"/>
          <w:szCs w:val="22"/>
        </w:rPr>
        <w:t>HbF</w:t>
      </w:r>
      <w:proofErr w:type="spellEnd"/>
      <w:r w:rsidRPr="000F1D8D">
        <w:rPr>
          <w:rFonts w:ascii="Arial" w:eastAsia="Arial" w:hAnsi="Arial" w:cs="Arial"/>
          <w:sz w:val="22"/>
          <w:szCs w:val="22"/>
        </w:rPr>
        <w:t xml:space="preserve"> levels increase maximally by 26-40 weeks</w:t>
      </w:r>
      <w:r w:rsidR="00C34F95" w:rsidRPr="000F1D8D">
        <w:rPr>
          <w:rFonts w:ascii="Arial" w:eastAsia="Arial" w:hAnsi="Arial" w:cs="Arial"/>
          <w:sz w:val="22"/>
          <w:szCs w:val="22"/>
          <w:vertAlign w:val="superscript"/>
        </w:rPr>
        <w:fldChar w:fldCharType="begin" w:fldLock="1"/>
      </w:r>
      <w:r w:rsidR="00B13F07" w:rsidRPr="000F1D8D">
        <w:rPr>
          <w:rFonts w:ascii="Arial" w:eastAsia="Arial" w:hAnsi="Arial" w:cs="Arial"/>
          <w:sz w:val="22"/>
          <w:szCs w:val="22"/>
          <w:vertAlign w:val="superscript"/>
        </w:rPr>
        <w:instrText>ADDIN CSL_CITATION {"citationItems":[{"id":"ITEM-1","itemData":{"DOI":"10.1016/S0140-6736(11)60355-3","ISSN":"01406736","PMID":"21571150","abstract":"Background: Sickle-cell anaemia is associated with substantial morbidity from acute complications and organ dysfunction beginning in the first year of life. Hydroxycarbamide substantially reduces episodes of pain and acute chest syndrome, admissions to hospital, and transfusions in adults with sickle-cell anaemia. We assessed the effect of hydroxycarbamide therapy on organ dysfunction and clinical complications, and examined laboratory findings and toxic effects. Methods: This randomised trial was undertaken in 13 centres in the USA between October, 2003, and September, 2009. Eligible participants had haemoglobin SS (HbSS) or haemoglobin Sβ0thalassaemia, were aged 9-18 months at randomisation, and were not selected for clinical severity. Participants received liquid hydroxycarbamide, 20 mg/kg per day, or placebo for 2 years. Randomisation assignments were generated by the medical coordinating centre by a pre-decided schedule. Identical appearing and tasting formulations were used for hydroxycarbamide and placebo. Patients, caregivers, and coordinating centre staff were masked to treatment allocation. Primary study endpoints were splenic function (qualitative uptake on 99Tc spleen scan) and renal function (glomerular filtration rate by 99mTc-DTPA clearance). Additional assessments included blood counts, fetal haemoglobin concentration, chemistry profiles, spleen function biomarkers, urine osmolality, neurodevelopment, transcranial Doppler ultrasonography, growth, and mutagenicity. Study visits occurred every 2-4 weeks. Analysis was by intention to treat. The trial is registered with ClinicalTrials.gov, number NCT00006400. Findings: 96 patients received hydroxycarbamide and 97 placebo, of whom 83 patients in the hydroxycarbamide group and 84 in the placebo group completed the study. Significant differences were not seen between groups for the primary endpoints (19 of 70 patients with decreased spleen function at exit in the hydroxycarbamide group vs 28 of 74 patients in the placebo group, p=0·21; and a difference in the mean increase in DTPA glomerular filtration rate in the hydroxycarbamide group versus the placebo group of 2 mL/min per 1·73 m2, p=0·84). Hydroxycarbamide significantly decreased pain (177 events in 62 patients vs 375 events in 75 patients in the placebo group, p=0·002) and dactylitis (24 events in 14 patients vs 123 events in 42 patients in the placebo group, p&lt;0·0001), with some evidence for decreased acute chest syndrome, hospitalisatio…","author":[{"dropping-particle":"","family":"Armstrong","given":"F. Daniel","non-dropping-particle":"","parse-names":false,"suffix":""},{"dropping-particle":"","family":"Emory","given":") ;","non-dropping-particle":"","parse-names":false,"suffix":""},{"dropping-particle":"","family":"Wang","given":"Winfred C.","non-dropping-particle":"","parse-names":false,"suffix":""},{"dropping-particle":"","family":"Ware","given":"Russell E.","non-dropping-particle":"","parse-names":false,"suffix":""},{"dropping-particle":"","family":"Miller","given":"Scott T.","non-dropping-particle":"","parse-names":false,"suffix":""},{"dropping-particle":"V.","family":"Iyer","given":"Rathi","non-dropping-particle":"","parse-names":false,"suffix":""},{"dropping-particle":"","family":"Casella","given":"James F.","non-dropping-particle":"","parse-names":false,"suffix":""},{"dropping-particle":"","family":"Minniti","given":"Caterina P.","non-dropping-particle":"","parse-names":false,"suffix":""},{"dropping-particle":"","family":"Rana","given":"Sohail","non-dropping-particle":"","parse-names":false,"suffix":""},{"dropping-particle":"","family":"Thornburg","given":"Courtney D.","non-dropping-particle":"","parse-names":false,"suffix":""},{"dropping-particle":"","family":"Rogers","given":"Zora R.","non-dropping-particle":"","parse-names":false,"suffix":""},{"dropping-particle":"V.","family":"Kalpatthi","given":"Ram","non-dropping-particle":"","parse-names":false,"suffix":""},{"dropping-particle":"","family":"Barredo","given":"Julio C.","non-dropping-particle":"","parse-names":false,"suffix":""},{"dropping-particle":"","family":"Brown","given":"Clark","non-dropping-particle":"","parse-names":false,"suffix":""},{"dropping-particle":"","family":"Sarnaik","given":"Sharada A.","non-dropping-particle":"","parse-names":false,"suffix":""},{"dropping-particle":"","family":"Howard","given":"Thomas H.","non-dropping-particle":"","parse-names":false,"suffix":""},{"dropping-particle":"","family":"Wynn","given":"Lynn W.","non-dropping-particle":"","parse-names":false,"suffix":""},{"dropping-particle":"","family":"Kutlar","given":"Abdullah","non-dropping-particle":"","parse-names":false,"suffix":""},{"dropping-particle":"","family":"Armstrong","given":"Daniel","non-dropping-particle":"","parse-names":false,"suffix":""},{"dropping-particle":"","family":"Files","given":"Beatrice A.","non-dropping-particle":"","parse-names":false,"suffix":""},{"dropping-particle":"","family":"Goldsmith","given":"Jonathan C.","non-dropping-particle":"","parse-names":false,"suffix":""},{"dropping-particle":"","family":"Waclawiw","given":"Myron A.","non-dropping-particle":"","parse-names":false,"suffix":""},{"dropping-particle":"","family":"Huang","given":"Xiangke","non-dropping-particle":"","parse-names":false,"suffix":""},{"dropping-particle":"","family":"Thompson","given":"Bruce W.","non-dropping-particle":"","parse-names":false,"suffix":""},{"dropping-particle":"","family":"Brown","given":"R. Clark","non-dropping-particle":"","parse-names":false,"suffix":""},{"dropping-particle":"","family":"Sarnaik","given":"Sharada A.","non-dropping-particle":"","parse-names":false,"suffix":""},{"dropping-particle":"","family":"Howard","given":"Thomas H.","non-dropping-particle":"","parse-names":false,"suffix":""},{"dropping-particle":"","family":"Wynn","given":"Lynn W.","non-dropping-particle":"","parse-names":false,"suffix":""},{"dropping-particle":"","family":"Kutlar","given":"Abdullah","non-dropping-particle":"","parse-names":false,"suffix":""},{"dropping-particle":"","family":"Armstrong","given":"F. Daniel","non-dropping-particle":"","parse-names":false,"suffix":""},{"dropping-particle":"","family":"Files","given":"Beatrice A.","non-dropping-particle":"","parse-names":false,"suffix":""},{"dropping-particle":"","family":"Goldsmith","given":"Jonathan C.","non-dropping-particle":"","parse-names":false,"suffix":""},{"dropping-particle":"","family":"Waclawiw","given":"Myron A.","non-dropping-particle":"","parse-names":false,"suffix":""},{"dropping-particle":"","family":"Huang","given":"Xiangke","non-dropping-particle":"","parse-names":false,"suffix":""},{"dropping-particle":"","family":"Thompson","given":"Bruce W.","non-dropping-particle":"","parse-names":false,"suffix":""}],"container-title":"The Lancet","id":"ITEM-1","issue":"9778","issued":{"date-parts":[["2011"]]},"page":"1663-1672","publisher":"Elsevier Ltd","title":"Hydroxycarbamide in very young children with sickle-cell anaemia: A multicentre, randomised, controlled trial (BABY HUG)","type":"article-journal","volume":"377"},"uris":["http://www.mendeley.com/documents/?uuid=3fa6d7ea-31d2-487b-8a01-05f3d6af848d"]}],"mendeley":{"formattedCitation":"&lt;sup&gt;14&lt;/sup&gt;","plainTextFormattedCitation":"14","previouslyFormattedCitation":"&lt;sup&gt;14&lt;/sup&gt;"},"properties":{"noteIndex":0},"schema":"https://github.com/citation-style-language/schema/raw/master/csl-citation.json"}</w:instrText>
      </w:r>
      <w:r w:rsidR="00C34F95" w:rsidRPr="000F1D8D">
        <w:rPr>
          <w:rFonts w:ascii="Arial" w:eastAsia="Arial" w:hAnsi="Arial" w:cs="Arial"/>
          <w:sz w:val="22"/>
          <w:szCs w:val="22"/>
          <w:vertAlign w:val="superscript"/>
        </w:rPr>
        <w:fldChar w:fldCharType="separate"/>
      </w:r>
      <w:r w:rsidR="00C34F95" w:rsidRPr="000F1D8D">
        <w:rPr>
          <w:rFonts w:ascii="Arial" w:eastAsia="Arial" w:hAnsi="Arial" w:cs="Arial"/>
          <w:noProof/>
          <w:sz w:val="22"/>
          <w:szCs w:val="22"/>
          <w:vertAlign w:val="superscript"/>
        </w:rPr>
        <w:t>14</w:t>
      </w:r>
      <w:r w:rsidR="00C34F95" w:rsidRPr="000F1D8D">
        <w:rPr>
          <w:rFonts w:ascii="Arial" w:eastAsia="Arial" w:hAnsi="Arial" w:cs="Arial"/>
          <w:sz w:val="22"/>
          <w:szCs w:val="22"/>
          <w:vertAlign w:val="superscript"/>
        </w:rPr>
        <w:fldChar w:fldCharType="end"/>
      </w:r>
      <w:r w:rsidR="00B13F07" w:rsidRPr="000F1D8D">
        <w:rPr>
          <w:rFonts w:ascii="Arial" w:eastAsia="Arial" w:hAnsi="Arial" w:cs="Arial"/>
          <w:sz w:val="22"/>
          <w:szCs w:val="22"/>
          <w:vertAlign w:val="superscript"/>
        </w:rPr>
        <w:t>,</w:t>
      </w:r>
      <w:r w:rsidR="00B13F07" w:rsidRPr="000F1D8D">
        <w:rPr>
          <w:rFonts w:ascii="Arial" w:eastAsia="Arial" w:hAnsi="Arial" w:cs="Arial"/>
          <w:sz w:val="22"/>
          <w:szCs w:val="22"/>
          <w:vertAlign w:val="superscript"/>
        </w:rPr>
        <w:fldChar w:fldCharType="begin" w:fldLock="1"/>
      </w:r>
      <w:r w:rsidR="00BA78A9" w:rsidRPr="000F1D8D">
        <w:rPr>
          <w:rFonts w:ascii="Arial" w:eastAsia="Arial" w:hAnsi="Arial" w:cs="Arial"/>
          <w:sz w:val="22"/>
          <w:szCs w:val="22"/>
          <w:vertAlign w:val="superscript"/>
        </w:rPr>
        <w:instrText>ADDIN CSL_CITATION {"citationItems":[{"id":"ITEM-1","itemData":{"DOI":"10.1097/CCM.0b013e31823da96d.Hydrogen","abstract":"Background—For children with sickle cell anaemia and elevated transcranial Doppler (TCD) flow velocities, regular blood transfusions effectively prevent primary stroke, but must be continued indefinitely. The efficacy of hydroxyurea in this setting is unknown. Methods—TWiTCH was a multicentre Phase III randomised open label, non-inferiority trial comparing standard treatment (transfusions) to alternative treatment (hydroxyurea) in children with abnormal TCD velocities but no severe vasculopathy. Iron overload was managed with chelation (Standard Arm) and serial phlebotomy (Alternative Arm). The primary study endpoint was the 24-month TCD velocity calculated from a general linear mixed model, with non- inferiority margin = 15 cm/sec. Findings—Among 121 randomised participants (61 transfusions, 60 hydroxyurea), children on transfusions maintained &lt;30% sickle haemoglobin, while those taking hydroxyurea (mean 27 mg/kg/day) averaged 25% fetal haemoglobin. The first scheduled interim analysis demonstrated non-inferiority, and the sponsor terminated the study. Final model-based TCD velocities (mean ± standard error) on Standard versus Alternative Arm were 143 ± 1.6 and 138 ± 1.6 cm/sec, respectively, with difference (95% CI) = 4.54 (0.10, 8.98), non-inferiority p=8.82 × 10−16 and post-hoc superiority p=0.023. Among 29 new neurological events adjudicated centrally by masked reviewers, no strokes occurred but there were 3 transient ischaemic attacks per arm. Exit brain MRI/MRA revealed no new cerebral infarcts in either arm, but worse vasculopathy in one participant (Standard Arm). Iron burden decreased more in the Alternative Arm, with ferritin difference −1047 ng/mL (−1524, −570), p&lt;0.001 and liver iron difference −4.3 mg Fe/gm dry weight (−6.1, −2.5), p=0.001. Interpretation—For high-risk children with sickle cell anaemia and abnormal TCD velocities, after four years of transfusions and without severe MRA vasculopathy, hydroxyurea therapy can substitute for chronic transfusions to maintain TCD velocities and help prevent primary stroke.","author":[{"dropping-particle":"","family":"Ware","given":"RE","non-dropping-particle":"","parse-names":false,"suffix":""},{"dropping-particle":"","family":"Davis","given":"BR","non-dropping-particle":"","parse-names":false,"suffix":""},{"dropping-particle":"","family":"Schultz","given":"WH","non-dropping-particle":"","parse-names":false,"suffix":""},{"dropping-particle":"","family":"et al","given":"","non-dropping-particle":"","parse-names":false,"suffix":""}],"container-title":"Lancet","id":"ITEM-1","issue":"10019","issued":{"date-parts":[["2016"]]},"page":"661-670","title":"TCD With Transfusions Changing to Hydroxyurea (TWiTCH): a multicentre, randomised controlled trial","type":"article-journal","volume":"387"},"uris":["http://www.mendeley.com/documents/?uuid=256386a0-68a7-4be8-af91-c44587b6ec95"]}],"mendeley":{"formattedCitation":"&lt;sup&gt;28&lt;/sup&gt;","plainTextFormattedCitation":"28","previouslyFormattedCitation":"&lt;sup&gt;28&lt;/sup&gt;"},"properties":{"noteIndex":0},"schema":"https://github.com/citation-style-language/schema/raw/master/csl-citation.json"}</w:instrText>
      </w:r>
      <w:r w:rsidR="00B13F07" w:rsidRPr="000F1D8D">
        <w:rPr>
          <w:rFonts w:ascii="Arial" w:eastAsia="Arial" w:hAnsi="Arial" w:cs="Arial"/>
          <w:sz w:val="22"/>
          <w:szCs w:val="22"/>
          <w:vertAlign w:val="superscript"/>
        </w:rPr>
        <w:fldChar w:fldCharType="separate"/>
      </w:r>
      <w:r w:rsidR="00B13F07" w:rsidRPr="000F1D8D">
        <w:rPr>
          <w:rFonts w:ascii="Arial" w:eastAsia="Arial" w:hAnsi="Arial" w:cs="Arial"/>
          <w:noProof/>
          <w:sz w:val="22"/>
          <w:szCs w:val="22"/>
          <w:vertAlign w:val="superscript"/>
        </w:rPr>
        <w:t>28</w:t>
      </w:r>
      <w:r w:rsidR="00B13F07" w:rsidRPr="000F1D8D">
        <w:rPr>
          <w:rFonts w:ascii="Arial" w:eastAsia="Arial" w:hAnsi="Arial" w:cs="Arial"/>
          <w:sz w:val="22"/>
          <w:szCs w:val="22"/>
          <w:vertAlign w:val="superscript"/>
        </w:rPr>
        <w:fldChar w:fldCharType="end"/>
      </w:r>
      <w:r w:rsidRPr="000F1D8D">
        <w:rPr>
          <w:rFonts w:ascii="Arial" w:eastAsia="Arial" w:hAnsi="Arial" w:cs="Arial"/>
          <w:sz w:val="22"/>
          <w:szCs w:val="22"/>
        </w:rPr>
        <w:t xml:space="preserve">, a point that may have been missed due to prior administration of HU or data collection before this time point. Similar patterns are notable in the MCV and ANC values, which show an expected increase and decrease, respectively. Overall, Hg and MCV values were noted to be significant, and patterns for all laboratory values are consistent with those in published data.   </w:t>
      </w:r>
    </w:p>
    <w:p w14:paraId="3696C8F6" w14:textId="2287C02A" w:rsidR="00A87D76" w:rsidRPr="000F1D8D" w:rsidRDefault="00A87D76" w:rsidP="00EE5008">
      <w:pPr>
        <w:spacing w:line="480" w:lineRule="auto"/>
        <w:ind w:firstLine="720"/>
        <w:jc w:val="both"/>
        <w:rPr>
          <w:rFonts w:ascii="Arial" w:eastAsia="Arial" w:hAnsi="Arial" w:cs="Arial"/>
          <w:sz w:val="22"/>
          <w:szCs w:val="22"/>
        </w:rPr>
      </w:pPr>
      <w:r w:rsidRPr="000F1D8D">
        <w:rPr>
          <w:rFonts w:ascii="Arial" w:eastAsia="Arial" w:hAnsi="Arial" w:cs="Arial"/>
          <w:sz w:val="22"/>
          <w:szCs w:val="22"/>
        </w:rPr>
        <w:t>In addition to laboratory values, growth metrics were assessed pre and post-LHU initiation due to lower weight, height, and BMI in children with SCD due to higher hemolysis, anemia, inflammation, and increased metabolic rate</w:t>
      </w:r>
      <w:r w:rsidR="00BA78A9" w:rsidRPr="000F1D8D">
        <w:rPr>
          <w:rFonts w:ascii="Arial" w:eastAsia="Arial" w:hAnsi="Arial" w:cs="Arial"/>
          <w:sz w:val="22"/>
          <w:szCs w:val="22"/>
        </w:rPr>
        <w:fldChar w:fldCharType="begin" w:fldLock="1"/>
      </w:r>
      <w:r w:rsidR="003F621A" w:rsidRPr="000F1D8D">
        <w:rPr>
          <w:rFonts w:ascii="Arial" w:eastAsia="Arial" w:hAnsi="Arial" w:cs="Arial"/>
          <w:sz w:val="22"/>
          <w:szCs w:val="22"/>
        </w:rPr>
        <w:instrText>ADDIN CSL_CITATION {"citationItems":[{"id":"ITEM-1","itemData":{"DOI":"10.1542/PEDS.2014-0917","ISSN":"1098-4275","PMID":"25157002","abstract":"BACKGROUND: Growth impairment is a known complication of sickle cell disease. Effects of hydroxyurea (HU) on growth in very young children are not known.\nMETHODS: Height, weight, BMI, and head circumference (HC) were compared with World Health Organization (WHO) standards in BABY HUG, a multicenter, randomized, double-blinded, placebo-controlled 2-year clinical trial of HU in 193 children 9 to 18 months of age. Anthropometric data were closely monitored and converted to z scores by using WHO standardized algorithms for descriptive analyses. The treatment and placebo groups were compared longitudinally by using a mixed model analysis.\nRESULTS: At entry, the z scores of BABY HUG children were higher than WHO norms. After 2 years of HU or placebo treatment, there were no significant differences between the groups, except for the mean HC z scores at study exit (HU: +0.8 versus placebo: +1.0, P = .05). Baseline z scores were the best predictors of z scores at study exit. The absolute neutrophil count, absolute reticulocyte count, and total white blood cell count had significant negative correlations with growth measures.\nCONCLUSIONS: Both groups had normal or near normal anthropometric measures during the study. The HC z scores at study entry and exit were slightly greater than WHO norms. Higher baseline white blood cell count, absolute reticulocyte count, and absolute neutrophil count were associated with poorer growth. The significance of the slightly lower HC in the treatment group at study exit is not clear. Trends toward normalization of weight and height and effects on HC will be monitored in ongoing BABY HUG follow-up studies.","author":[{"dropping-particle":"","family":"Rana","given":"Sohail","non-dropping-particle":"","parse-names":false,"suffix":""},{"dropping-particle":"","family":"Houston","given":"Patricia E.","non-dropping-particle":"","parse-names":false,"suffix":""},{"dropping-particle":"","family":"Wang","given":"Winfred C.","non-dropping-particle":"","parse-names":false,"suffix":""},{"dropping-particle":"V.","family":"Iyer","given":"Rathi","non-dropping-particle":"","parse-names":false,"suffix":""},{"dropping-particle":"","family":"Goldsmith","given":"Jonathan","non-dropping-particle":"","parse-names":false,"suffix":""},{"dropping-particle":"","family":"Casella","given":"James F.","non-dropping-particle":"","parse-names":false,"suffix":""},{"dropping-particle":"","family":"Reed","given":"Caroline K.","non-dropping-particle":"","parse-names":false,"suffix":""},{"dropping-particle":"","family":"Rogers","given":"Zora R.","non-dropping-particle":"","parse-names":false,"suffix":""},{"dropping-particle":"","family":"Waclawiw","given":"Myron A.","non-dropping-particle":"","parse-names":false,"suffix":""},{"dropping-particle":"","family":"Thompson","given":"Bruce","non-dropping-particle":"","parse-names":false,"suffix":""}],"container-title":"Pediatrics","id":"ITEM-1","issue":"3","issued":{"date-parts":[["2014","9","1"]]},"page":"465-472","publisher":"Pediatrics","title":"Hydroxyurea and growth in young children with sickle cell disease","type":"article-journal","volume":"134"},"uris":["http://www.mendeley.com/documents/?uuid=4ad1692d-5895-3437-8905-80e0b72d9fbd"]}],"mendeley":{"formattedCitation":"&lt;sup&gt;31&lt;/sup&gt;","plainTextFormattedCitation":"31","previouslyFormattedCitation":"&lt;sup&gt;31&lt;/sup&gt;"},"properties":{"noteIndex":0},"schema":"https://github.com/citation-style-language/schema/raw/master/csl-citation.json"}</w:instrText>
      </w:r>
      <w:r w:rsidR="00BA78A9" w:rsidRPr="000F1D8D">
        <w:rPr>
          <w:rFonts w:ascii="Arial" w:eastAsia="Arial" w:hAnsi="Arial" w:cs="Arial"/>
          <w:sz w:val="22"/>
          <w:szCs w:val="22"/>
        </w:rPr>
        <w:fldChar w:fldCharType="separate"/>
      </w:r>
      <w:r w:rsidR="00BA78A9" w:rsidRPr="000F1D8D">
        <w:rPr>
          <w:rFonts w:ascii="Arial" w:eastAsia="Arial" w:hAnsi="Arial" w:cs="Arial"/>
          <w:noProof/>
          <w:sz w:val="22"/>
          <w:szCs w:val="22"/>
          <w:vertAlign w:val="superscript"/>
        </w:rPr>
        <w:t>31</w:t>
      </w:r>
      <w:r w:rsidR="00BA78A9" w:rsidRPr="000F1D8D">
        <w:rPr>
          <w:rFonts w:ascii="Arial" w:eastAsia="Arial" w:hAnsi="Arial" w:cs="Arial"/>
          <w:sz w:val="22"/>
          <w:szCs w:val="22"/>
        </w:rPr>
        <w:fldChar w:fldCharType="end"/>
      </w:r>
      <w:r w:rsidRPr="000F1D8D">
        <w:rPr>
          <w:rFonts w:ascii="Arial" w:eastAsia="Arial" w:hAnsi="Arial" w:cs="Arial"/>
          <w:sz w:val="22"/>
          <w:szCs w:val="22"/>
        </w:rPr>
        <w:t xml:space="preserve">. The BABY HUG trial did not show any differences </w:t>
      </w:r>
      <w:r w:rsidRPr="000F1D8D">
        <w:rPr>
          <w:rFonts w:ascii="Arial" w:eastAsia="Arial" w:hAnsi="Arial" w:cs="Arial"/>
          <w:sz w:val="22"/>
          <w:szCs w:val="22"/>
        </w:rPr>
        <w:lastRenderedPageBreak/>
        <w:t>in height or weight among those who received HU</w:t>
      </w:r>
      <w:r w:rsidR="003F621A" w:rsidRPr="000F1D8D">
        <w:rPr>
          <w:rFonts w:ascii="Arial" w:eastAsia="Arial" w:hAnsi="Arial" w:cs="Arial"/>
          <w:sz w:val="22"/>
          <w:szCs w:val="22"/>
        </w:rPr>
        <w:fldChar w:fldCharType="begin" w:fldLock="1"/>
      </w:r>
      <w:r w:rsidR="00E81FB1" w:rsidRPr="000F1D8D">
        <w:rPr>
          <w:rFonts w:ascii="Arial" w:eastAsia="Arial" w:hAnsi="Arial" w:cs="Arial"/>
          <w:sz w:val="22"/>
          <w:szCs w:val="22"/>
        </w:rPr>
        <w:instrText>ADDIN CSL_CITATION {"citationItems":[{"id":"ITEM-1","itemData":{"DOI":"10.1542/PEDS.2014-0917","ISSN":"1098-4275","PMID":"25157002","abstract":"BACKGROUND: Growth impairment is a known complication of sickle cell disease. Effects of hydroxyurea (HU) on growth in very young children are not known.\nMETHODS: Height, weight, BMI, and head circumference (HC) were compared with World Health Organization (WHO) standards in BABY HUG, a multicenter, randomized, double-blinded, placebo-controlled 2-year clinical trial of HU in 193 children 9 to 18 months of age. Anthropometric data were closely monitored and converted to z scores by using WHO standardized algorithms for descriptive analyses. The treatment and placebo groups were compared longitudinally by using a mixed model analysis.\nRESULTS: At entry, the z scores of BABY HUG children were higher than WHO norms. After 2 years of HU or placebo treatment, there were no significant differences between the groups, except for the mean HC z scores at study exit (HU: +0.8 versus placebo: +1.0, P = .05). Baseline z scores were the best predictors of z scores at study exit. The absolute neutrophil count, absolute reticulocyte count, and total white blood cell count had significant negative correlations with growth measures.\nCONCLUSIONS: Both groups had normal or near normal anthropometric measures during the study. The HC z scores at study entry and exit were slightly greater than WHO norms. Higher baseline white blood cell count, absolute reticulocyte count, and absolute neutrophil count were associated with poorer growth. The significance of the slightly lower HC in the treatment group at study exit is not clear. Trends toward normalization of weight and height and effects on HC will be monitored in ongoing BABY HUG follow-up studies.","author":[{"dropping-particle":"","family":"Rana","given":"Sohail","non-dropping-particle":"","parse-names":false,"suffix":""},{"dropping-particle":"","family":"Houston","given":"Patricia E.","non-dropping-particle":"","parse-names":false,"suffix":""},{"dropping-particle":"","family":"Wang","given":"Winfred C.","non-dropping-particle":"","parse-names":false,"suffix":""},{"dropping-particle":"V.","family":"Iyer","given":"Rathi","non-dropping-particle":"","parse-names":false,"suffix":""},{"dropping-particle":"","family":"Goldsmith","given":"Jonathan","non-dropping-particle":"","parse-names":false,"suffix":""},{"dropping-particle":"","family":"Casella","given":"James F.","non-dropping-particle":"","parse-names":false,"suffix":""},{"dropping-particle":"","family":"Reed","given":"Caroline K.","non-dropping-particle":"","parse-names":false,"suffix":""},{"dropping-particle":"","family":"Rogers","given":"Zora R.","non-dropping-particle":"","parse-names":false,"suffix":""},{"dropping-particle":"","family":"Waclawiw","given":"Myron A.","non-dropping-particle":"","parse-names":false,"suffix":""},{"dropping-particle":"","family":"Thompson","given":"Bruce","non-dropping-particle":"","parse-names":false,"suffix":""}],"container-title":"Pediatrics","id":"ITEM-1","issue":"3","issued":{"date-parts":[["2014","9","1"]]},"page":"465-472","publisher":"Pediatrics","title":"Hydroxyurea and growth in young children with sickle cell disease","type":"article-journal","volume":"134"},"uris":["http://www.mendeley.com/documents/?uuid=4ad1692d-5895-3437-8905-80e0b72d9fbd"]}],"mendeley":{"formattedCitation":"&lt;sup&gt;31&lt;/sup&gt;","plainTextFormattedCitation":"31","previouslyFormattedCitation":"&lt;sup&gt;31&lt;/sup&gt;"},"properties":{"noteIndex":0},"schema":"https://github.com/citation-style-language/schema/raw/master/csl-citation.json"}</w:instrText>
      </w:r>
      <w:r w:rsidR="003F621A" w:rsidRPr="000F1D8D">
        <w:rPr>
          <w:rFonts w:ascii="Arial" w:eastAsia="Arial" w:hAnsi="Arial" w:cs="Arial"/>
          <w:sz w:val="22"/>
          <w:szCs w:val="22"/>
        </w:rPr>
        <w:fldChar w:fldCharType="separate"/>
      </w:r>
      <w:r w:rsidR="003F621A" w:rsidRPr="000F1D8D">
        <w:rPr>
          <w:rFonts w:ascii="Arial" w:eastAsia="Arial" w:hAnsi="Arial" w:cs="Arial"/>
          <w:noProof/>
          <w:sz w:val="22"/>
          <w:szCs w:val="22"/>
          <w:vertAlign w:val="superscript"/>
        </w:rPr>
        <w:t>31</w:t>
      </w:r>
      <w:r w:rsidR="003F621A" w:rsidRPr="000F1D8D">
        <w:rPr>
          <w:rFonts w:ascii="Arial" w:eastAsia="Arial" w:hAnsi="Arial" w:cs="Arial"/>
          <w:sz w:val="22"/>
          <w:szCs w:val="22"/>
        </w:rPr>
        <w:fldChar w:fldCharType="end"/>
      </w:r>
      <w:r w:rsidRPr="000F1D8D">
        <w:rPr>
          <w:rFonts w:ascii="Arial" w:eastAsia="Arial" w:hAnsi="Arial" w:cs="Arial"/>
          <w:sz w:val="22"/>
          <w:szCs w:val="22"/>
        </w:rPr>
        <w:t>, but the HUG-KIDs study showed an increase in weight in males who received HU</w:t>
      </w:r>
      <w:r w:rsidR="00E81FB1" w:rsidRPr="000F1D8D">
        <w:rPr>
          <w:rFonts w:ascii="Arial" w:eastAsia="Arial" w:hAnsi="Arial" w:cs="Arial"/>
          <w:sz w:val="22"/>
          <w:szCs w:val="22"/>
        </w:rPr>
        <w:fldChar w:fldCharType="begin" w:fldLock="1"/>
      </w:r>
      <w:r w:rsidR="00EE6EEF" w:rsidRPr="000F1D8D">
        <w:rPr>
          <w:rFonts w:ascii="Arial" w:eastAsia="Arial" w:hAnsi="Arial" w:cs="Arial"/>
          <w:sz w:val="22"/>
          <w:szCs w:val="22"/>
        </w:rPr>
        <w:instrText>ADDIN CSL_CITATION {"citationItems":[{"id":"ITEM-1","itemData":{"DOI":"10.1067/mpd.2002.121383","ISSN":"00223476","abstract":"Objectives: Although hydroxyurea is effective in treating adults with sickle-cell anemia (SCA), there is concern that it may adversely affect growth in children. We report the growth characteristics of patients in the Phase I-II pediatric hydroxyurea trial (HUG-KIDS) before and during treatment at the maximum tolerated dose for one year. Study design: Children and adolescents with SCA (n = 68), aged 5 to 16 years at baseline, reached the maximum tolerated dose and had serial height, weight, and Tanner stage measurements. Data from the Cooperative Study of Sickle Cell Disease (CSSCD) were used for comparison. Mixed-effects models were used to compare serial measurements as a function of age and group. Results: In girls, there were no significant differences in height or weight among the pretreatment, on-treatment, and CSSCD groups. Compared with the CSSCD group, HUG-KIDS boys were heavier starting at age 9 years, and pretreatment HUG-KIDS boys were taller starting at age 7 years. The Tanner stage transitions took place at appropriate ages. Conclusions: Hydroxyurea treatment had no adverse effect on height or weight gain or pubertal development in school-aged children with SCA.","author":[{"dropping-particle":"","family":"Wang","given":"Winfred C.","non-dropping-particle":"","parse-names":false,"suffix":""},{"dropping-particle":"","family":"Helms","given":"Ronald W.","non-dropping-particle":"","parse-names":false,"suffix":""},{"dropping-particle":"","family":"Lynn","given":"Henry S.","non-dropping-particle":"","parse-names":false,"suffix":""},{"dropping-particle":"","family":"Redding-Lallinger","given":"Rupa","non-dropping-particle":"","parse-names":false,"suffix":""},{"dropping-particle":"","family":"Gee","given":"Beatrice E.","non-dropping-particle":"","parse-names":false,"suffix":""},{"dropping-particle":"","family":"Ohene-Frempong","given":"Kwaku","non-dropping-particle":"","parse-names":false,"suffix":""},{"dropping-particle":"","family":"Smith-Whitley","given":"Kim","non-dropping-particle":"","parse-names":false,"suffix":""},{"dropping-particle":"","family":"Waclawiw","given":"Myron A.","non-dropping-particle":"","parse-names":false,"suffix":""},{"dropping-particle":"","family":"Vichinsky","given":"Elliott P.","non-dropping-particle":"","parse-names":false,"suffix":""},{"dropping-particle":"","family":"Styles","given":"Lori A.","non-dropping-particle":"","parse-names":false,"suffix":""},{"dropping-particle":"","family":"Ware","given":"Russell E.","non-dropping-particle":"","parse-names":false,"suffix":""},{"dropping-particle":"","family":"Kinney","given":"Thomas R.","non-dropping-particle":"","parse-names":false,"suffix":""}],"container-title":"Journal of Pediatrics","id":"ITEM-1","issue":"2","issued":{"date-parts":[["2002"]]},"page":"225-229","title":"Effect of hydroxyurea on growth in children with sickle cell anemia: Results of the HUG-KIDS study","type":"article-journal","volume":"140"},"uris":["http://www.mendeley.com/documents/?uuid=026e1af2-7642-494b-97cb-4dc9571bc9a1"]}],"mendeley":{"formattedCitation":"&lt;sup&gt;32&lt;/sup&gt;","plainTextFormattedCitation":"32","previouslyFormattedCitation":"&lt;sup&gt;32&lt;/sup&gt;"},"properties":{"noteIndex":0},"schema":"https://github.com/citation-style-language/schema/raw/master/csl-citation.json"}</w:instrText>
      </w:r>
      <w:r w:rsidR="00E81FB1" w:rsidRPr="000F1D8D">
        <w:rPr>
          <w:rFonts w:ascii="Arial" w:eastAsia="Arial" w:hAnsi="Arial" w:cs="Arial"/>
          <w:sz w:val="22"/>
          <w:szCs w:val="22"/>
        </w:rPr>
        <w:fldChar w:fldCharType="separate"/>
      </w:r>
      <w:r w:rsidR="00E81FB1" w:rsidRPr="000F1D8D">
        <w:rPr>
          <w:rFonts w:ascii="Arial" w:eastAsia="Arial" w:hAnsi="Arial" w:cs="Arial"/>
          <w:noProof/>
          <w:sz w:val="22"/>
          <w:szCs w:val="22"/>
          <w:vertAlign w:val="superscript"/>
        </w:rPr>
        <w:t>32</w:t>
      </w:r>
      <w:r w:rsidR="00E81FB1" w:rsidRPr="000F1D8D">
        <w:rPr>
          <w:rFonts w:ascii="Arial" w:eastAsia="Arial" w:hAnsi="Arial" w:cs="Arial"/>
          <w:sz w:val="22"/>
          <w:szCs w:val="22"/>
        </w:rPr>
        <w:fldChar w:fldCharType="end"/>
      </w:r>
      <w:r w:rsidRPr="000F1D8D">
        <w:rPr>
          <w:rFonts w:ascii="Arial" w:eastAsia="Arial" w:hAnsi="Arial" w:cs="Arial"/>
          <w:sz w:val="22"/>
          <w:szCs w:val="22"/>
        </w:rPr>
        <w:t xml:space="preserve">. Thus, we assessed our population's absolute numbers and percentiles for height and weight. We noted no significant growth or weight percentile changes pre- or post-initiation of LHU. Inspection of absolute changes in height and weight showed no adverse effect on growth, consistent with findings of the BABY HUG and HUG-KIDs studies. </w:t>
      </w:r>
    </w:p>
    <w:p w14:paraId="51A86739" w14:textId="0BF25496" w:rsidR="00A87D76" w:rsidRPr="000F1D8D" w:rsidRDefault="00A87D76" w:rsidP="00EE5008">
      <w:pPr>
        <w:spacing w:line="480" w:lineRule="auto"/>
        <w:ind w:firstLine="720"/>
        <w:jc w:val="both"/>
        <w:rPr>
          <w:rFonts w:ascii="Arial" w:eastAsia="Arial" w:hAnsi="Arial" w:cs="Arial"/>
          <w:sz w:val="22"/>
          <w:szCs w:val="22"/>
        </w:rPr>
      </w:pPr>
      <w:r w:rsidRPr="000F1D8D">
        <w:rPr>
          <w:rFonts w:ascii="Arial" w:eastAsia="Arial" w:hAnsi="Arial" w:cs="Arial"/>
          <w:sz w:val="22"/>
          <w:szCs w:val="22"/>
        </w:rPr>
        <w:t>Previous studies have shown decreased ED visits and hospitalizations among children treated with HU</w:t>
      </w:r>
      <w:r w:rsidR="00EE6EEF" w:rsidRPr="000F1D8D">
        <w:rPr>
          <w:rFonts w:ascii="Arial" w:eastAsia="Arial" w:hAnsi="Arial" w:cs="Arial"/>
          <w:sz w:val="22"/>
          <w:szCs w:val="22"/>
          <w:vertAlign w:val="superscript"/>
        </w:rPr>
        <w:fldChar w:fldCharType="begin" w:fldLock="1"/>
      </w:r>
      <w:r w:rsidR="00030E06" w:rsidRPr="000F1D8D">
        <w:rPr>
          <w:rFonts w:ascii="Arial" w:eastAsia="Arial" w:hAnsi="Arial" w:cs="Arial"/>
          <w:sz w:val="22"/>
          <w:szCs w:val="22"/>
          <w:vertAlign w:val="superscript"/>
        </w:rPr>
        <w:instrText>ADDIN CSL_CITATION {"citationItems":[{"id":"ITEM-1","itemData":{"DOI":"10.1016/S0140-6736(11)60355-3","ISSN":"01406736","PMID":"21571150","abstract":"Background: Sickle-cell anaemia is associated with substantial morbidity from acute complications and organ dysfunction beginning in the first year of life. Hydroxycarbamide substantially reduces episodes of pain and acute chest syndrome, admissions to hospital, and transfusions in adults with sickle-cell anaemia. We assessed the effect of hydroxycarbamide therapy on organ dysfunction and clinical complications, and examined laboratory findings and toxic effects. Methods: This randomised trial was undertaken in 13 centres in the USA between October, 2003, and September, 2009. Eligible participants had haemoglobin SS (HbSS) or haemoglobin Sβ0thalassaemia, were aged 9-18 months at randomisation, and were not selected for clinical severity. Participants received liquid hydroxycarbamide, 20 mg/kg per day, or placebo for 2 years. Randomisation assignments were generated by the medical coordinating centre by a pre-decided schedule. Identical appearing and tasting formulations were used for hydroxycarbamide and placebo. Patients, caregivers, and coordinating centre staff were masked to treatment allocation. Primary study endpoints were splenic function (qualitative uptake on 99Tc spleen scan) and renal function (glomerular filtration rate by 99mTc-DTPA clearance). Additional assessments included blood counts, fetal haemoglobin concentration, chemistry profiles, spleen function biomarkers, urine osmolality, neurodevelopment, transcranial Doppler ultrasonography, growth, and mutagenicity. Study visits occurred every 2-4 weeks. Analysis was by intention to treat. The trial is registered with ClinicalTrials.gov, number NCT00006400. Findings: 96 patients received hydroxycarbamide and 97 placebo, of whom 83 patients in the hydroxycarbamide group and 84 in the placebo group completed the study. Significant differences were not seen between groups for the primary endpoints (19 of 70 patients with decreased spleen function at exit in the hydroxycarbamide group vs 28 of 74 patients in the placebo group, p=0·21; and a difference in the mean increase in DTPA glomerular filtration rate in the hydroxycarbamide group versus the placebo group of 2 mL/min per 1·73 m2, p=0·84). Hydroxycarbamide significantly decreased pain (177 events in 62 patients vs 375 events in 75 patients in the placebo group, p=0·002) and dactylitis (24 events in 14 patients vs 123 events in 42 patients in the placebo group, p&lt;0·0001), with some evidence for decreased acute chest syndrome, hospitalisatio…","author":[{"dropping-particle":"","family":"Armstrong","given":"F. Daniel","non-dropping-particle":"","parse-names":false,"suffix":""},{"dropping-particle":"","family":"Emory","given":") ;","non-dropping-particle":"","parse-names":false,"suffix":""},{"dropping-particle":"","family":"Wang","given":"Winfred C.","non-dropping-particle":"","parse-names":false,"suffix":""},{"dropping-particle":"","family":"Ware","given":"Russell E.","non-dropping-particle":"","parse-names":false,"suffix":""},{"dropping-particle":"","family":"Miller","given":"Scott T.","non-dropping-particle":"","parse-names":false,"suffix":""},{"dropping-particle":"V.","family":"Iyer","given":"Rathi","non-dropping-particle":"","parse-names":false,"suffix":""},{"dropping-particle":"","family":"Casella","given":"James F.","non-dropping-particle":"","parse-names":false,"suffix":""},{"dropping-particle":"","family":"Minniti","given":"Caterina P.","non-dropping-particle":"","parse-names":false,"suffix":""},{"dropping-particle":"","family":"Rana","given":"Sohail","non-dropping-particle":"","parse-names":false,"suffix":""},{"dropping-particle":"","family":"Thornburg","given":"Courtney D.","non-dropping-particle":"","parse-names":false,"suffix":""},{"dropping-particle":"","family":"Rogers","given":"Zora R.","non-dropping-particle":"","parse-names":false,"suffix":""},{"dropping-particle":"V.","family":"Kalpatthi","given":"Ram","non-dropping-particle":"","parse-names":false,"suffix":""},{"dropping-particle":"","family":"Barredo","given":"Julio C.","non-dropping-particle":"","parse-names":false,"suffix":""},{"dropping-particle":"","family":"Brown","given":"Clark","non-dropping-particle":"","parse-names":false,"suffix":""},{"dropping-particle":"","family":"Sarnaik","given":"Sharada A.","non-dropping-particle":"","parse-names":false,"suffix":""},{"dropping-particle":"","family":"Howard","given":"Thomas H.","non-dropping-particle":"","parse-names":false,"suffix":""},{"dropping-particle":"","family":"Wynn","given":"Lynn W.","non-dropping-particle":"","parse-names":false,"suffix":""},{"dropping-particle":"","family":"Kutlar","given":"Abdullah","non-dropping-particle":"","parse-names":false,"suffix":""},{"dropping-particle":"","family":"Armstrong","given":"Daniel","non-dropping-particle":"","parse-names":false,"suffix":""},{"dropping-particle":"","family":"Files","given":"Beatrice A.","non-dropping-particle":"","parse-names":false,"suffix":""},{"dropping-particle":"","family":"Goldsmith","given":"Jonathan C.","non-dropping-particle":"","parse-names":false,"suffix":""},{"dropping-particle":"","family":"Waclawiw","given":"Myron A.","non-dropping-particle":"","parse-names":false,"suffix":""},{"dropping-particle":"","family":"Huang","given":"Xiangke","non-dropping-particle":"","parse-names":false,"suffix":""},{"dropping-particle":"","family":"Thompson","given":"Bruce W.","non-dropping-particle":"","parse-names":false,"suffix":""},{"dropping-particle":"","family":"Brown","given":"R. Clark","non-dropping-particle":"","parse-names":false,"suffix":""},{"dropping-particle":"","family":"Sarnaik","given":"Sharada A.","non-dropping-particle":"","parse-names":false,"suffix":""},{"dropping-particle":"","family":"Howard","given":"Thomas H.","non-dropping-particle":"","parse-names":false,"suffix":""},{"dropping-particle":"","family":"Wynn","given":"Lynn W.","non-dropping-particle":"","parse-names":false,"suffix":""},{"dropping-particle":"","family":"Kutlar","given":"Abdullah","non-dropping-particle":"","parse-names":false,"suffix":""},{"dropping-particle":"","family":"Armstrong","given":"F. Daniel","non-dropping-particle":"","parse-names":false,"suffix":""},{"dropping-particle":"","family":"Files","given":"Beatrice A.","non-dropping-particle":"","parse-names":false,"suffix":""},{"dropping-particle":"","family":"Goldsmith","given":"Jonathan C.","non-dropping-particle":"","parse-names":false,"suffix":""},{"dropping-particle":"","family":"Waclawiw","given":"Myron A.","non-dropping-particle":"","parse-names":false,"suffix":""},{"dropping-particle":"","family":"Huang","given":"Xiangke","non-dropping-particle":"","parse-names":false,"suffix":""},{"dropping-particle":"","family":"Thompson","given":"Bruce W.","non-dropping-particle":"","parse-names":false,"suffix":""}],"container-title":"The Lancet","id":"ITEM-1","issue":"9778","issued":{"date-parts":[["2011"]]},"page":"1663-1672","publisher":"Elsevier Ltd","title":"Hydroxycarbamide in very young children with sickle-cell anaemia: A multicentre, randomised, controlled trial (BABY HUG)","type":"article-journal","volume":"377"},"uris":["http://www.mendeley.com/documents/?uuid=3fa6d7ea-31d2-487b-8a01-05f3d6af848d"]}],"mendeley":{"formattedCitation":"&lt;sup&gt;14&lt;/sup&gt;","plainTextFormattedCitation":"14","previouslyFormattedCitation":"&lt;sup&gt;14&lt;/sup&gt;"},"properties":{"noteIndex":0},"schema":"https://github.com/citation-style-language/schema/raw/master/csl-citation.json"}</w:instrText>
      </w:r>
      <w:r w:rsidR="00EE6EEF" w:rsidRPr="000F1D8D">
        <w:rPr>
          <w:rFonts w:ascii="Arial" w:eastAsia="Arial" w:hAnsi="Arial" w:cs="Arial"/>
          <w:sz w:val="22"/>
          <w:szCs w:val="22"/>
          <w:vertAlign w:val="superscript"/>
        </w:rPr>
        <w:fldChar w:fldCharType="separate"/>
      </w:r>
      <w:r w:rsidR="00EE6EEF" w:rsidRPr="000F1D8D">
        <w:rPr>
          <w:rFonts w:ascii="Arial" w:eastAsia="Arial" w:hAnsi="Arial" w:cs="Arial"/>
          <w:noProof/>
          <w:sz w:val="22"/>
          <w:szCs w:val="22"/>
          <w:vertAlign w:val="superscript"/>
        </w:rPr>
        <w:t>14</w:t>
      </w:r>
      <w:r w:rsidR="00EE6EEF" w:rsidRPr="000F1D8D">
        <w:rPr>
          <w:rFonts w:ascii="Arial" w:eastAsia="Arial" w:hAnsi="Arial" w:cs="Arial"/>
          <w:sz w:val="22"/>
          <w:szCs w:val="22"/>
          <w:vertAlign w:val="superscript"/>
        </w:rPr>
        <w:fldChar w:fldCharType="end"/>
      </w:r>
      <w:r w:rsidR="00E64A53" w:rsidRPr="000F1D8D">
        <w:rPr>
          <w:rFonts w:ascii="Arial" w:eastAsia="Arial" w:hAnsi="Arial" w:cs="Arial"/>
          <w:sz w:val="22"/>
          <w:szCs w:val="22"/>
          <w:vertAlign w:val="superscript"/>
        </w:rPr>
        <w:t>,</w:t>
      </w:r>
      <w:r w:rsidR="006E7BC8" w:rsidRPr="000F1D8D">
        <w:rPr>
          <w:rFonts w:ascii="Arial" w:eastAsia="Arial" w:hAnsi="Arial" w:cs="Arial"/>
          <w:sz w:val="22"/>
          <w:szCs w:val="22"/>
          <w:vertAlign w:val="superscript"/>
        </w:rPr>
        <w:fldChar w:fldCharType="begin" w:fldLock="1"/>
      </w:r>
      <w:r w:rsidR="00E64A53" w:rsidRPr="000F1D8D">
        <w:rPr>
          <w:rFonts w:ascii="Arial" w:eastAsia="Arial" w:hAnsi="Arial" w:cs="Arial"/>
          <w:sz w:val="22"/>
          <w:szCs w:val="22"/>
          <w:vertAlign w:val="superscript"/>
        </w:rPr>
        <w:instrText>ADDIN CSL_CITATION {"citationItems":[{"id":"ITEM-1","itemData":{"DOI":"10.1002/ajh.24587","ISSN":"10968652","PMID":"27761932","abstract":"The clinical efficacy of hydroxyurea in patients with sickle cell anemia (SCA) has been well established. However, data about its clinical effectiveness in practice is limited. We evaluated the clinical effectiveness of hydroxyurea in a large pediatric population using a retrospective cohort, pre-post treatment study design to control for disease severity selection bias. The cohort included children with SCA (SS, Sβ0thalassemia) who received care at Children's Healthcare of Atlanta (CHOA) and who initiated hydroxyurea in 2009-2011. Children on chronic transfusions, or children with inadequate follow up data and/or children who had taken hydroxyurea in the 3 years prior were excluded. For each patient healthcare utilization, laboratory values, and clinical outcomes for the 2-year period prior to hydroxyurea initiation were compared to those 2 years after initiation. Of 211 children with SCA who initiated hydroxyurea in 2009–2011, 134 met eligibility criteria. After initiation of hydroxyurea, rates of hospitalizations, pain encounters, and emergency department visits were reduced by 47% (&lt;0.0001), 36% (P = 0.0001) and 43% (P &lt; 0.0001), respectively. Average hemoglobin levels increased by 0.7 g/dl (P &lt; 0.0001). Hydroxyurea effectiveness was similar across gender, insurance types and age, although there was a slightly greater reduction in hospitalizations in younger children. Am. J. Hematol. 92:77–81, 2017. © 2016 Wiley Periodicals, Inc.","author":[{"dropping-particle":"","family":"Quarmyne","given":"Maa Ohui","non-dropping-particle":"","parse-names":false,"suffix":""},{"dropping-particle":"","family":"Dong","given":"Wei","non-dropping-particle":"","parse-names":false,"suffix":""},{"dropping-particle":"","family":"Theodore","given":"Rodney","non-dropping-particle":"","parse-names":false,"suffix":""},{"dropping-particle":"","family":"Anand","given":"Sonia","non-dropping-particle":"","parse-names":false,"suffix":""},{"dropping-particle":"","family":"Barry","given":"Vaughn","non-dropping-particle":"","parse-names":false,"suffix":""},{"dropping-particle":"","family":"Adisa","given":"Olufolake","non-dropping-particle":"","parse-names":false,"suffix":""},{"dropping-particle":"","family":"Buchanan","given":"Iris D.","non-dropping-particle":"","parse-names":false,"suffix":""},{"dropping-particle":"","family":"Bost","given":"James","non-dropping-particle":"","parse-names":false,"suffix":""},{"dropping-particle":"","family":"Brown","given":"Robert C.","non-dropping-particle":"","parse-names":false,"suffix":""},{"dropping-particle":"","family":"Joiner","given":"Clinton H.","non-dropping-particle":"","parse-names":false,"suffix":""},{"dropping-particle":"","family":"Lane","given":"Peter A.","non-dropping-particle":"","parse-names":false,"suffix":""}],"container-title":"American Journal of Hematology","id":"ITEM-1","issue":"1","issued":{"date-parts":[["2017"]]},"page":"77-81","title":"Hydroxyurea effectiveness in children and adolescents with sickle cell anemia: A large retrospective, population-based cohort","type":"article-journal","volume":"92"},"uris":["http://www.mendeley.com/documents/?uuid=9544da9d-4978-42cd-a112-728b6f6c9e5d"]}],"mendeley":{"formattedCitation":"&lt;sup&gt;30&lt;/sup&gt;","plainTextFormattedCitation":"30","previouslyFormattedCitation":"&lt;sup&gt;30&lt;/sup&gt;"},"properties":{"noteIndex":0},"schema":"https://github.com/citation-style-language/schema/raw/master/csl-citation.json"}</w:instrText>
      </w:r>
      <w:r w:rsidR="006E7BC8" w:rsidRPr="000F1D8D">
        <w:rPr>
          <w:rFonts w:ascii="Arial" w:eastAsia="Arial" w:hAnsi="Arial" w:cs="Arial"/>
          <w:sz w:val="22"/>
          <w:szCs w:val="22"/>
          <w:vertAlign w:val="superscript"/>
        </w:rPr>
        <w:fldChar w:fldCharType="separate"/>
      </w:r>
      <w:r w:rsidR="006E7BC8" w:rsidRPr="000F1D8D">
        <w:rPr>
          <w:rFonts w:ascii="Arial" w:eastAsia="Arial" w:hAnsi="Arial" w:cs="Arial"/>
          <w:noProof/>
          <w:sz w:val="22"/>
          <w:szCs w:val="22"/>
          <w:vertAlign w:val="superscript"/>
        </w:rPr>
        <w:t>30</w:t>
      </w:r>
      <w:r w:rsidR="006E7BC8" w:rsidRPr="000F1D8D">
        <w:rPr>
          <w:rFonts w:ascii="Arial" w:eastAsia="Arial" w:hAnsi="Arial" w:cs="Arial"/>
          <w:sz w:val="22"/>
          <w:szCs w:val="22"/>
          <w:vertAlign w:val="superscript"/>
        </w:rPr>
        <w:fldChar w:fldCharType="end"/>
      </w:r>
      <w:r w:rsidR="00E64A53" w:rsidRPr="000F1D8D">
        <w:rPr>
          <w:rFonts w:ascii="Arial" w:eastAsia="Arial" w:hAnsi="Arial" w:cs="Arial"/>
          <w:sz w:val="22"/>
          <w:szCs w:val="22"/>
          <w:vertAlign w:val="superscript"/>
        </w:rPr>
        <w:t>,</w:t>
      </w:r>
      <w:r w:rsidR="00E64A53" w:rsidRPr="000F1D8D">
        <w:rPr>
          <w:rFonts w:ascii="Arial" w:eastAsia="Arial" w:hAnsi="Arial" w:cs="Arial"/>
          <w:sz w:val="22"/>
          <w:szCs w:val="22"/>
          <w:vertAlign w:val="superscript"/>
        </w:rPr>
        <w:fldChar w:fldCharType="begin" w:fldLock="1"/>
      </w:r>
      <w:r w:rsidR="00334FCE" w:rsidRPr="000F1D8D">
        <w:rPr>
          <w:rFonts w:ascii="Arial" w:eastAsia="Arial" w:hAnsi="Arial" w:cs="Arial"/>
          <w:sz w:val="22"/>
          <w:szCs w:val="22"/>
          <w:vertAlign w:val="superscript"/>
        </w:rPr>
        <w:instrText>ADDIN CSL_CITATION {"citationItems":[{"id":"ITEM-1","itemData":{"DOI":"10.1182/blood-2012-03-419879","ISSN":"15280020","PMID":"22915643","abstract":"The Pediatric Hydroxyurea Phase 3 Clinical Trial (BABY HUG) was a phase 3 multicenter, randomized, double-blind, placebocontrolled clinical trial of hydroxyurea in infants (beginning at 9-18 months of age) with sickle cell anemia. An important secondary objective of this study was to compare clinical events between the hydroxyurea and placebo groups. One hundred and ninetythree subjects were randomized to hydroxyurea (20 mg/kg/d) or placebo; there were 374 patient-years of on-study observation. Hydroxyurea was associated with statistically significantly lower rates of initial and recurrent episodes of pain, dactylitis, acute chest syndrome, and hospitalization; even infants who were asymptomatic at enrollment had less dactylitis as well as fewer hospitalizations and transfusions if treated with hydroxyurea. Despite expected mild myelosuppression, hydroxyurea was not associated with an increased risk of bacteremia or serious infection. These data provide important safety and efficacy information for clinicians considering hydroxyurea therapy for very young children with sickle cell anemia. This clinical trial is registered with the National Institutes of Health (NCT00006400, www.clinicaltrials. gov). © 2012 by The American Society of Hematology.","author":[{"dropping-particle":"","family":"Thornburg","given":"Courtney D.","non-dropping-particle":"","parse-names":false,"suffix":""},{"dropping-particle":"","family":"Files","given":"Beatrice A.","non-dropping-particle":"","parse-names":false,"suffix":""},{"dropping-particle":"","family":"Luo","given":"Zhaoyu","non-dropping-particle":"","parse-names":false,"suffix":""},{"dropping-particle":"","family":"Miller","given":"Scott T.","non-dropping-particle":"","parse-names":false,"suffix":""},{"dropping-particle":"","family":"Kalpatthi","given":"Ram","non-dropping-particle":"","parse-names":false,"suffix":""},{"dropping-particle":"","family":"Iyer","given":"Rathi","non-dropping-particle":"","parse-names":false,"suffix":""},{"dropping-particle":"","family":"Seaman","given":"Phillip","non-dropping-particle":"","parse-names":false,"suffix":""},{"dropping-particle":"","family":"Lebensburger","given":"Jeffrey","non-dropping-particle":"","parse-names":false,"suffix":""},{"dropping-particle":"","family":"Alvarez","given":"Ofelia","non-dropping-particle":"","parse-names":false,"suffix":""},{"dropping-particle":"","family":"Thompson","given":"Bruce","non-dropping-particle":"","parse-names":false,"suffix":""},{"dropping-particle":"","family":"Ware","given":"Russell E.","non-dropping-particle":"","parse-names":false,"suffix":""},{"dropping-particle":"","family":"Wang","given":"Winfred C.","non-dropping-particle":"","parse-names":false,"suffix":""}],"container-title":"Blood","id":"ITEM-1","issue":"22","issued":{"date-parts":[["2012","11","22"]]},"page":"4304-4310","publisher":"American Society of Hematology","title":"Impact of hydroxyurea on clinical events in the BABY HUG trial","type":"article-journal","volume":"120"},"uris":["http://www.mendeley.com/documents/?uuid=252b4a76-72ec-3374-aaa4-21fba245f721"]}],"mendeley":{"formattedCitation":"&lt;sup&gt;33&lt;/sup&gt;","plainTextFormattedCitation":"33","previouslyFormattedCitation":"&lt;sup&gt;33&lt;/sup&gt;"},"properties":{"noteIndex":0},"schema":"https://github.com/citation-style-language/schema/raw/master/csl-citation.json"}</w:instrText>
      </w:r>
      <w:r w:rsidR="00E64A53" w:rsidRPr="000F1D8D">
        <w:rPr>
          <w:rFonts w:ascii="Arial" w:eastAsia="Arial" w:hAnsi="Arial" w:cs="Arial"/>
          <w:sz w:val="22"/>
          <w:szCs w:val="22"/>
          <w:vertAlign w:val="superscript"/>
        </w:rPr>
        <w:fldChar w:fldCharType="separate"/>
      </w:r>
      <w:r w:rsidR="00E64A53" w:rsidRPr="000F1D8D">
        <w:rPr>
          <w:rFonts w:ascii="Arial" w:eastAsia="Arial" w:hAnsi="Arial" w:cs="Arial"/>
          <w:noProof/>
          <w:sz w:val="22"/>
          <w:szCs w:val="22"/>
          <w:vertAlign w:val="superscript"/>
        </w:rPr>
        <w:t>33</w:t>
      </w:r>
      <w:r w:rsidR="00E64A53" w:rsidRPr="000F1D8D">
        <w:rPr>
          <w:rFonts w:ascii="Arial" w:eastAsia="Arial" w:hAnsi="Arial" w:cs="Arial"/>
          <w:sz w:val="22"/>
          <w:szCs w:val="22"/>
          <w:vertAlign w:val="superscript"/>
        </w:rPr>
        <w:fldChar w:fldCharType="end"/>
      </w:r>
      <w:r w:rsidRPr="000F1D8D">
        <w:rPr>
          <w:rFonts w:ascii="Arial" w:eastAsia="Arial" w:hAnsi="Arial" w:cs="Arial"/>
          <w:sz w:val="22"/>
          <w:szCs w:val="22"/>
        </w:rPr>
        <w:t>. We first assessed the numbers of outpatient</w:t>
      </w:r>
      <w:r w:rsidRPr="000F1D8D">
        <w:rPr>
          <w:rFonts w:ascii="Arial" w:hAnsi="Arial" w:cs="Arial"/>
          <w:sz w:val="22"/>
          <w:szCs w:val="22"/>
        </w:rPr>
        <w:t xml:space="preserve"> </w:t>
      </w:r>
      <w:r w:rsidRPr="000F1D8D">
        <w:rPr>
          <w:rFonts w:ascii="Arial" w:eastAsia="Arial" w:hAnsi="Arial" w:cs="Arial"/>
          <w:sz w:val="22"/>
          <w:szCs w:val="22"/>
        </w:rPr>
        <w:t xml:space="preserve">visits, which were similar pre- and post-LHU initiation, suggesting adequate follow-up in our patient population. We then assessed ED visits and hospitalizations, which decreased frequency after LHU initiation. Given that ED visits and hospitalizations correlate with ACS and VOEs, a decrease in these events was also noted after LHU initiation. Despite the low incidence of these events in our population, the relative decline suggests that the LHU administration has aided in decreasing these events.  </w:t>
      </w:r>
    </w:p>
    <w:p w14:paraId="448CD817" w14:textId="7634695F" w:rsidR="00A87D76" w:rsidRPr="000F1D8D" w:rsidRDefault="005452BF" w:rsidP="00EE5008">
      <w:pPr>
        <w:spacing w:line="480" w:lineRule="auto"/>
        <w:ind w:firstLine="720"/>
        <w:jc w:val="both"/>
        <w:rPr>
          <w:rFonts w:ascii="Arial" w:eastAsia="Arial" w:hAnsi="Arial" w:cs="Arial"/>
          <w:sz w:val="22"/>
          <w:szCs w:val="22"/>
        </w:rPr>
      </w:pPr>
      <w:sdt>
        <w:sdtPr>
          <w:rPr>
            <w:rFonts w:ascii="Arial" w:hAnsi="Arial" w:cs="Arial"/>
            <w:sz w:val="22"/>
            <w:szCs w:val="22"/>
          </w:rPr>
          <w:tag w:val="goog_rdk_73"/>
          <w:id w:val="497621157"/>
        </w:sdtPr>
        <w:sdtEndPr/>
        <w:sdtContent>
          <w:r w:rsidR="00A87D76" w:rsidRPr="000F1D8D">
            <w:rPr>
              <w:rFonts w:ascii="Arial" w:eastAsia="Arial" w:hAnsi="Arial" w:cs="Arial"/>
              <w:sz w:val="22"/>
              <w:szCs w:val="22"/>
            </w:rPr>
            <w:t xml:space="preserve">This study holds three main strengths. First, </w:t>
          </w:r>
        </w:sdtContent>
      </w:sdt>
      <w:r w:rsidR="00A87D76" w:rsidRPr="000F1D8D">
        <w:rPr>
          <w:rFonts w:ascii="Arial" w:eastAsia="Arial" w:hAnsi="Arial" w:cs="Arial"/>
          <w:sz w:val="22"/>
          <w:szCs w:val="22"/>
        </w:rPr>
        <w:t>it describes the impact of an LHU delivery program at a large metropolitan hospital by reporting various SCD outcomes and providing adherence measures. Few published interventions to improve medication adherence in pediatric SCD exist. Such studies in children with SCD have noted nonadherence to moderate adherence to medication regimens</w:t>
      </w:r>
      <w:r w:rsidR="00334FCE" w:rsidRPr="000F1D8D">
        <w:rPr>
          <w:rFonts w:ascii="Arial" w:eastAsia="Arial" w:hAnsi="Arial" w:cs="Arial"/>
          <w:sz w:val="22"/>
          <w:szCs w:val="22"/>
          <w:vertAlign w:val="superscript"/>
        </w:rPr>
        <w:fldChar w:fldCharType="begin" w:fldLock="1"/>
      </w:r>
      <w:r w:rsidR="001D7917" w:rsidRPr="000F1D8D">
        <w:rPr>
          <w:rFonts w:ascii="Arial" w:eastAsia="Arial" w:hAnsi="Arial" w:cs="Arial"/>
          <w:sz w:val="22"/>
          <w:szCs w:val="22"/>
          <w:vertAlign w:val="superscript"/>
        </w:rPr>
        <w:instrText>ADDIN CSL_CITATION {"citationItems":[{"id":"ITEM-1","itemData":{"DOI":"10.1542/peds.2014-0177","ISSN":"10984275","PMID":"25404717","abstract":"OBJECTIVES: Describe rates of adherence for sickle cell disease (SCD) medications, identify patient and medication characteristics associated with nonadherence, and determine the effect of nonadherence and moderate adherence (defined as taking 60%-80% of doses) on clinical outcomes. METHODS: In February 2012 we systematically searched 6 databases for peer-reviewed articles published after 1940. We identified articles evaluating medication adherence among patients &lt;25 years old with SCD. Two authors reviewed each article to determine whether it should be included. Two authors extracted data, including medication studied, adherence measures used, rates of adherence, and barriers to adherence. RESULTS: Of 24 articles in the final review, 23 focused on 1 medication type: antibiotic prophylaxis (13 articles), iron chelation (5 articles), or hydroxyurea (5 articles). Adherence rates ranged from 16% to 89%; most reported moderate adherence. Medication factors contributed to adherence. For example, prophylactic antibiotic adherence was better with intramuscular than oral administration. Barriers included fear of side effects, incorrect dosing, and forgetting. Nonadherence was associated with more vaso-occlusive crises and hospitalizations. The limited data available on moderate adherence to iron chelation and hydroxyurea indicates some clinical benefit. CONCLUSIONS: Moderate adherence is typical among pediatric patients with SCD. Multicomponent interventions are needed to optimally deliver life-changing medications to these children and should include routine monitoring of adherence, support to prevent mistakes, and education to improve understanding of medication risks and benefits.","author":[{"dropping-particle":"","family":"Walsh","given":"Kathleen E.","non-dropping-particle":"","parse-names":false,"suffix":""},{"dropping-particle":"","family":"Cutrona","given":"Sarah L.","non-dropping-particle":"","parse-names":false,"suffix":""},{"dropping-particle":"","family":"Kavanagh","given":"Patricia L.","non-dropping-particle":"","parse-names":false,"suffix":""},{"dropping-particle":"","family":"Crosby","given":"Lori E.","non-dropping-particle":"","parse-names":false,"suffix":""},{"dropping-particle":"","family":"Malone","given":"Chris","non-dropping-particle":"","parse-names":false,"suffix":""},{"dropping-particle":"","family":"Lobner","given":"Katie","non-dropping-particle":"","parse-names":false,"suffix":""},{"dropping-particle":"","family":"Bundy","given":"David G.","non-dropping-particle":"","parse-names":false,"suffix":""}],"container-title":"Pediatrics","id":"ITEM-1","issue":"6","issued":{"date-parts":[["2014"]]},"page":"1175-1183","title":"Medication adherence among pediatric patients with sickle cell disease: A systematic review","type":"article-journal","volume":"134"},"uris":["http://www.mendeley.com/documents/?uuid=cadedc54-07b1-4337-92b3-9da1fbc985ba"]}],"mendeley":{"formattedCitation":"&lt;sup&gt;20&lt;/sup&gt;","plainTextFormattedCitation":"20","previouslyFormattedCitation":"&lt;sup&gt;20&lt;/sup&gt;"},"properties":{"noteIndex":0},"schema":"https://github.com/citation-style-language/schema/raw/master/csl-citation.json"}</w:instrText>
      </w:r>
      <w:r w:rsidR="00334FCE" w:rsidRPr="000F1D8D">
        <w:rPr>
          <w:rFonts w:ascii="Arial" w:eastAsia="Arial" w:hAnsi="Arial" w:cs="Arial"/>
          <w:sz w:val="22"/>
          <w:szCs w:val="22"/>
          <w:vertAlign w:val="superscript"/>
        </w:rPr>
        <w:fldChar w:fldCharType="separate"/>
      </w:r>
      <w:r w:rsidR="00BE2023" w:rsidRPr="000F1D8D">
        <w:rPr>
          <w:rFonts w:ascii="Arial" w:eastAsia="Arial" w:hAnsi="Arial" w:cs="Arial"/>
          <w:noProof/>
          <w:sz w:val="22"/>
          <w:szCs w:val="22"/>
          <w:vertAlign w:val="superscript"/>
        </w:rPr>
        <w:t>20</w:t>
      </w:r>
      <w:r w:rsidR="00334FCE" w:rsidRPr="000F1D8D">
        <w:rPr>
          <w:rFonts w:ascii="Arial" w:eastAsia="Arial" w:hAnsi="Arial" w:cs="Arial"/>
          <w:sz w:val="22"/>
          <w:szCs w:val="22"/>
          <w:vertAlign w:val="superscript"/>
        </w:rPr>
        <w:fldChar w:fldCharType="end"/>
      </w:r>
      <w:r w:rsidR="006D3ECE" w:rsidRPr="000F1D8D">
        <w:rPr>
          <w:rFonts w:ascii="Arial" w:eastAsia="Arial" w:hAnsi="Arial" w:cs="Arial"/>
          <w:sz w:val="22"/>
          <w:szCs w:val="22"/>
          <w:vertAlign w:val="superscript"/>
        </w:rPr>
        <w:t>,</w:t>
      </w:r>
      <w:r w:rsidR="00F92D4E" w:rsidRPr="000F1D8D">
        <w:rPr>
          <w:rFonts w:ascii="Arial" w:eastAsia="Arial" w:hAnsi="Arial" w:cs="Arial"/>
          <w:sz w:val="22"/>
          <w:szCs w:val="22"/>
          <w:vertAlign w:val="superscript"/>
        </w:rPr>
        <w:fldChar w:fldCharType="begin" w:fldLock="1"/>
      </w:r>
      <w:r w:rsidR="00C35D44" w:rsidRPr="000F1D8D">
        <w:rPr>
          <w:rFonts w:ascii="Arial" w:eastAsia="Arial" w:hAnsi="Arial" w:cs="Arial"/>
          <w:sz w:val="22"/>
          <w:szCs w:val="22"/>
          <w:vertAlign w:val="superscript"/>
        </w:rPr>
        <w:instrText>ADDIN CSL_CITATION {"citationItems":[{"id":"ITEM-1","itemData":{"DOI":"10.1016/j.jpeds.2009.09.044","ISSN":"00223476","abstract":"Objectives: To assess adherence to hydroxyurea therapy in children with sickle cell anemia (SCA), evaluate the association between adherence and hematologic profile, and identify barriers and facilitators of adherence. Study design: Children with SCA (n=75) receiving hydroxyurea were recruited for a single-institution cross-sectional study. The primary outcome was association between treatment adherence and percent fetal hemoglobin (HbF). Results: Good adherence was estimated at 82% with visual analog scale, 84% with Morisky score, 85% with medical provider report, 77% with clinic visits, and 49% on the basis of pharmacy refills. Increase in HbF was moderately associated with good adherence as measured with the parent/proxy Morisky score (r=-0.39; 95% CI, -0.58-0.17; P &lt; .01) and prescription refills (r=0.39; 95% CI, 0.16-0.57; P &lt; .01). The number of pharmacy refills and the Morisky score explained 23% of the variation in HbF response. Conclusions: Adherence was ≥75% with 4 of 5 measures. Pharmacy refills and the Modified Morisky Scale may be used to identify children at high risk for poor response because of non-adherence and children with good adherence with poor response because of individual pharmacodynamics. Future research should prospectively compare adherence measures and evaluate methods to improve treatment adherence. © 2010 Mosby, Inc. All rights reserved.","author":[{"dropping-particle":"","family":"Thornburg","given":"Courtney D.","non-dropping-particle":"","parse-names":false,"suffix":""},{"dropping-particle":"","family":"Calatroni","given":"Agustin","non-dropping-particle":"","parse-names":false,"suffix":""},{"dropping-particle":"","family":"Telen","given":"Marilyn","non-dropping-particle":"","parse-names":false,"suffix":""},{"dropping-particle":"","family":"Kemper","given":"Alex R.","non-dropping-particle":"","parse-names":false,"suffix":""}],"container-title":"Journal of Pediatrics","id":"ITEM-1","issue":"3","issued":{"date-parts":[["2010"]]},"page":"415-419","publisher":"Mosby, Inc.","title":"Adherence to Hydroxyurea Therapy in Children with Sickle Cell Anemia","type":"article-journal","volume":"156"},"uris":["http://www.mendeley.com/documents/?uuid=5f87b5d0-689b-42cd-82ad-3c8526d12da5"]}],"mendeley":{"formattedCitation":"&lt;sup&gt;23&lt;/sup&gt;","plainTextFormattedCitation":"23","previouslyFormattedCitation":"&lt;sup&gt;23&lt;/sup&gt;"},"properties":{"noteIndex":0},"schema":"https://github.com/citation-style-language/schema/raw/master/csl-citation.json"}</w:instrText>
      </w:r>
      <w:r w:rsidR="00F92D4E" w:rsidRPr="000F1D8D">
        <w:rPr>
          <w:rFonts w:ascii="Arial" w:eastAsia="Arial" w:hAnsi="Arial" w:cs="Arial"/>
          <w:sz w:val="22"/>
          <w:szCs w:val="22"/>
          <w:vertAlign w:val="superscript"/>
        </w:rPr>
        <w:fldChar w:fldCharType="separate"/>
      </w:r>
      <w:r w:rsidR="00F92D4E" w:rsidRPr="000F1D8D">
        <w:rPr>
          <w:rFonts w:ascii="Arial" w:eastAsia="Arial" w:hAnsi="Arial" w:cs="Arial"/>
          <w:noProof/>
          <w:sz w:val="22"/>
          <w:szCs w:val="22"/>
          <w:vertAlign w:val="superscript"/>
        </w:rPr>
        <w:t>23</w:t>
      </w:r>
      <w:r w:rsidR="00F92D4E" w:rsidRPr="000F1D8D">
        <w:rPr>
          <w:rFonts w:ascii="Arial" w:eastAsia="Arial" w:hAnsi="Arial" w:cs="Arial"/>
          <w:sz w:val="22"/>
          <w:szCs w:val="22"/>
          <w:vertAlign w:val="superscript"/>
        </w:rPr>
        <w:fldChar w:fldCharType="end"/>
      </w:r>
      <w:r w:rsidR="00A87D76" w:rsidRPr="000F1D8D">
        <w:rPr>
          <w:rFonts w:ascii="Arial" w:eastAsia="Arial" w:hAnsi="Arial" w:cs="Arial"/>
          <w:sz w:val="22"/>
          <w:szCs w:val="22"/>
        </w:rPr>
        <w:t xml:space="preserve">.  </w:t>
      </w:r>
      <w:sdt>
        <w:sdtPr>
          <w:rPr>
            <w:rFonts w:ascii="Arial" w:hAnsi="Arial" w:cs="Arial"/>
            <w:sz w:val="22"/>
            <w:szCs w:val="22"/>
          </w:rPr>
          <w:tag w:val="goog_rdk_76"/>
          <w:id w:val="-1619986187"/>
        </w:sdtPr>
        <w:sdtEndPr/>
        <w:sdtContent>
          <w:r w:rsidR="00A87D76" w:rsidRPr="000F1D8D">
            <w:rPr>
              <w:rFonts w:ascii="Arial" w:eastAsia="Arial" w:hAnsi="Arial" w:cs="Arial"/>
              <w:sz w:val="22"/>
              <w:szCs w:val="22"/>
            </w:rPr>
            <w:t>Second, t</w:t>
          </w:r>
        </w:sdtContent>
      </w:sdt>
      <w:r w:rsidR="00A87D76" w:rsidRPr="000F1D8D">
        <w:rPr>
          <w:rFonts w:ascii="Arial" w:eastAsia="Arial" w:hAnsi="Arial" w:cs="Arial"/>
          <w:sz w:val="22"/>
          <w:szCs w:val="22"/>
        </w:rPr>
        <w:t>his study provides strong adherence measures correlating</w:t>
      </w:r>
      <w:r w:rsidR="00A87D76" w:rsidRPr="000F1D8D">
        <w:rPr>
          <w:rFonts w:ascii="Arial" w:hAnsi="Arial" w:cs="Arial"/>
          <w:sz w:val="22"/>
          <w:szCs w:val="22"/>
        </w:rPr>
        <w:t xml:space="preserve"> </w:t>
      </w:r>
      <w:r w:rsidR="00A87D76" w:rsidRPr="000F1D8D">
        <w:rPr>
          <w:rFonts w:ascii="Arial" w:eastAsia="Arial" w:hAnsi="Arial" w:cs="Arial"/>
          <w:sz w:val="22"/>
          <w:szCs w:val="22"/>
        </w:rPr>
        <w:t xml:space="preserve">with laboratory values and healthcare utilization data. </w:t>
      </w:r>
      <w:sdt>
        <w:sdtPr>
          <w:rPr>
            <w:rFonts w:ascii="Arial" w:hAnsi="Arial" w:cs="Arial"/>
            <w:sz w:val="22"/>
            <w:szCs w:val="22"/>
          </w:rPr>
          <w:tag w:val="goog_rdk_80"/>
          <w:id w:val="1540473567"/>
        </w:sdtPr>
        <w:sdtEndPr/>
        <w:sdtContent>
          <w:r w:rsidR="00A87D76" w:rsidRPr="000F1D8D">
            <w:rPr>
              <w:rFonts w:ascii="Arial" w:eastAsia="Arial" w:hAnsi="Arial" w:cs="Arial"/>
              <w:sz w:val="22"/>
              <w:szCs w:val="22"/>
            </w:rPr>
            <w:t>Third</w:t>
          </w:r>
        </w:sdtContent>
      </w:sdt>
      <w:r w:rsidR="00A87D76" w:rsidRPr="000F1D8D">
        <w:rPr>
          <w:rFonts w:ascii="Arial" w:eastAsia="Arial" w:hAnsi="Arial" w:cs="Arial"/>
          <w:sz w:val="22"/>
          <w:szCs w:val="22"/>
        </w:rPr>
        <w:t>,</w:t>
      </w:r>
      <w:sdt>
        <w:sdtPr>
          <w:rPr>
            <w:rFonts w:ascii="Arial" w:hAnsi="Arial" w:cs="Arial"/>
            <w:sz w:val="22"/>
            <w:szCs w:val="22"/>
          </w:rPr>
          <w:tag w:val="goog_rdk_82"/>
          <w:id w:val="-573200761"/>
        </w:sdtPr>
        <w:sdtEndPr/>
        <w:sdtContent>
          <w:r w:rsidR="00A87D76" w:rsidRPr="000F1D8D">
            <w:rPr>
              <w:rFonts w:ascii="Arial" w:eastAsia="Arial" w:hAnsi="Arial" w:cs="Arial"/>
              <w:sz w:val="22"/>
              <w:szCs w:val="22"/>
            </w:rPr>
            <w:t xml:space="preserve"> we include</w:t>
          </w:r>
        </w:sdtContent>
      </w:sdt>
      <w:r w:rsidR="00A87D76" w:rsidRPr="000F1D8D">
        <w:rPr>
          <w:rFonts w:ascii="Arial" w:eastAsia="Arial" w:hAnsi="Arial" w:cs="Arial"/>
          <w:sz w:val="22"/>
          <w:szCs w:val="22"/>
        </w:rPr>
        <w:t xml:space="preserve"> patient experiences and anecdotally provide barriers to access for our patient population, thus providing points for improvement.  Importantly, our data suggest that </w:t>
      </w:r>
      <w:r w:rsidR="00A87D76" w:rsidRPr="000F1D8D">
        <w:rPr>
          <w:rFonts w:ascii="Arial" w:hAnsi="Arial" w:cs="Arial"/>
          <w:sz w:val="22"/>
          <w:szCs w:val="22"/>
        </w:rPr>
        <w:t>administering LHU through compounding pharmacies collaborating with the primary hematologist clinic, as done at Boston Medical Center, may help increase</w:t>
      </w:r>
      <w:r w:rsidR="00A87D76" w:rsidRPr="000F1D8D">
        <w:rPr>
          <w:rFonts w:ascii="Arial" w:eastAsia="Arial" w:hAnsi="Arial" w:cs="Arial"/>
          <w:sz w:val="22"/>
          <w:szCs w:val="22"/>
        </w:rPr>
        <w:t xml:space="preserve"> adherence. </w:t>
      </w:r>
    </w:p>
    <w:p w14:paraId="6A4AB0C9" w14:textId="39B45CFA" w:rsidR="00A87D76" w:rsidRPr="000F1D8D" w:rsidRDefault="00A87D76" w:rsidP="00EE5008">
      <w:pPr>
        <w:spacing w:line="480" w:lineRule="auto"/>
        <w:ind w:firstLine="720"/>
        <w:jc w:val="both"/>
        <w:rPr>
          <w:rFonts w:ascii="Arial" w:eastAsia="Arial" w:hAnsi="Arial" w:cs="Arial"/>
          <w:sz w:val="22"/>
          <w:szCs w:val="22"/>
        </w:rPr>
      </w:pPr>
      <w:r w:rsidRPr="000F1D8D">
        <w:rPr>
          <w:rFonts w:ascii="Arial" w:eastAsia="Arial" w:hAnsi="Arial" w:cs="Arial"/>
          <w:sz w:val="22"/>
          <w:szCs w:val="22"/>
        </w:rPr>
        <w:t xml:space="preserve">The most notable limitation of our study is the small sample size. Since its inception, the program has enrolled 59 patients, 18 of whom had to be excluded from data analysis. As more patients are enrolled, extending the analysis to determine whether laboratory, healthcare utilization, and adherence findings hold will be beneficial. Additionally, given that the program’s </w:t>
      </w:r>
      <w:r w:rsidRPr="000F1D8D">
        <w:rPr>
          <w:rFonts w:ascii="Arial" w:eastAsia="Arial" w:hAnsi="Arial" w:cs="Arial"/>
          <w:sz w:val="22"/>
          <w:szCs w:val="22"/>
        </w:rPr>
        <w:lastRenderedPageBreak/>
        <w:t xml:space="preserve">inception was aimed at providing a more reliable alternative to delivering LHU to pediatric patients, a proportion of our patients (34%) had prior exposure to LHU. These patients were usually older and received HU from other compounding pharmacies before enrolling in the program. This prior exposure adds confounding factors to the outcomes analysis and necessitates assessment with a larger patient cohort. Other SCD outcomes that we could not report include blood transfusion requirements and TCD Doppler changes, which would also be beneficial to examine. Finally, our study population included 1 </w:t>
      </w:r>
      <w:proofErr w:type="spellStart"/>
      <w:r w:rsidRPr="000F1D8D">
        <w:rPr>
          <w:rFonts w:ascii="Arial" w:eastAsia="Arial" w:hAnsi="Arial" w:cs="Arial"/>
          <w:sz w:val="22"/>
          <w:szCs w:val="22"/>
        </w:rPr>
        <w:t>HbSC</w:t>
      </w:r>
      <w:proofErr w:type="spellEnd"/>
      <w:r w:rsidRPr="000F1D8D">
        <w:rPr>
          <w:rFonts w:ascii="Arial" w:eastAsia="Arial" w:hAnsi="Arial" w:cs="Arial"/>
          <w:sz w:val="22"/>
          <w:szCs w:val="22"/>
        </w:rPr>
        <w:t xml:space="preserve"> and 1 HbSB0 patient. Although confounding factors added by these patients were likely minimal, given their low representation, the impact of HU on these phenotypes cannot be fully assessed in this study.</w:t>
      </w:r>
    </w:p>
    <w:p w14:paraId="4E6D0555" w14:textId="5DE42A31" w:rsidR="00A87D76" w:rsidRPr="000F1D8D" w:rsidRDefault="00A87D76" w:rsidP="00EE5008">
      <w:pPr>
        <w:spacing w:line="480" w:lineRule="auto"/>
        <w:ind w:firstLine="720"/>
        <w:jc w:val="both"/>
        <w:rPr>
          <w:rFonts w:ascii="Arial" w:eastAsia="Arial" w:hAnsi="Arial" w:cs="Arial"/>
          <w:sz w:val="22"/>
          <w:szCs w:val="22"/>
        </w:rPr>
      </w:pPr>
      <w:r w:rsidRPr="000F1D8D">
        <w:rPr>
          <w:rFonts w:ascii="Arial" w:eastAsia="Arial" w:hAnsi="Arial" w:cs="Arial"/>
          <w:sz w:val="22"/>
          <w:szCs w:val="22"/>
        </w:rPr>
        <w:t xml:space="preserve">In summary, our data highlights that delivery of LHU through our hospital’s pharmacy has various beneficial outcomes. Although our sample size is small, trends in Hb, </w:t>
      </w:r>
      <w:proofErr w:type="spellStart"/>
      <w:r w:rsidRPr="000F1D8D">
        <w:rPr>
          <w:rFonts w:ascii="Arial" w:eastAsia="Arial" w:hAnsi="Arial" w:cs="Arial"/>
          <w:sz w:val="22"/>
          <w:szCs w:val="22"/>
        </w:rPr>
        <w:t>HbF</w:t>
      </w:r>
      <w:proofErr w:type="spellEnd"/>
      <w:r w:rsidRPr="000F1D8D">
        <w:rPr>
          <w:rFonts w:ascii="Arial" w:eastAsia="Arial" w:hAnsi="Arial" w:cs="Arial"/>
          <w:sz w:val="22"/>
          <w:szCs w:val="22"/>
        </w:rPr>
        <w:t xml:space="preserve">, MCV, and ANC </w:t>
      </w:r>
      <w:proofErr w:type="gramStart"/>
      <w:r w:rsidRPr="000F1D8D">
        <w:rPr>
          <w:rFonts w:ascii="Arial" w:eastAsia="Arial" w:hAnsi="Arial" w:cs="Arial"/>
          <w:sz w:val="22"/>
          <w:szCs w:val="22"/>
        </w:rPr>
        <w:t>values,</w:t>
      </w:r>
      <w:proofErr w:type="gramEnd"/>
      <w:r w:rsidRPr="000F1D8D">
        <w:rPr>
          <w:rFonts w:ascii="Arial" w:eastAsia="Arial" w:hAnsi="Arial" w:cs="Arial"/>
          <w:sz w:val="22"/>
          <w:szCs w:val="22"/>
        </w:rPr>
        <w:t xml:space="preserve"> decreased ED visits and adverse events, and high PDC indicates improved adherence after enrollment in this program. As this program </w:t>
      </w:r>
      <w:sdt>
        <w:sdtPr>
          <w:rPr>
            <w:rFonts w:ascii="Arial" w:hAnsi="Arial" w:cs="Arial"/>
            <w:sz w:val="22"/>
            <w:szCs w:val="22"/>
          </w:rPr>
          <w:tag w:val="goog_rdk_87"/>
          <w:id w:val="1887674246"/>
        </w:sdtPr>
        <w:sdtEndPr/>
        <w:sdtContent/>
      </w:sdt>
      <w:r w:rsidRPr="000F1D8D">
        <w:rPr>
          <w:rFonts w:ascii="Arial" w:eastAsia="Arial" w:hAnsi="Arial" w:cs="Arial"/>
          <w:sz w:val="22"/>
          <w:szCs w:val="22"/>
        </w:rPr>
        <w:t xml:space="preserve">continues to grow, these outcomes require further follow-up. However, the results from this study may apply to implementing programs in other communities and nations with a high SCD burden where safety net hospitals are available. Such programs would centralize prescribing and delivering medication to patients who may not have access to alternative formulations that are easier to administer in children, </w:t>
      </w:r>
      <w:sdt>
        <w:sdtPr>
          <w:rPr>
            <w:rFonts w:ascii="Arial" w:hAnsi="Arial" w:cs="Arial"/>
            <w:sz w:val="22"/>
            <w:szCs w:val="22"/>
          </w:rPr>
          <w:tag w:val="goog_rdk_88"/>
          <w:id w:val="674539866"/>
        </w:sdtPr>
        <w:sdtEndPr/>
        <w:sdtContent>
          <w:r w:rsidRPr="000F1D8D">
            <w:rPr>
              <w:rFonts w:ascii="Arial" w:eastAsia="Arial" w:hAnsi="Arial" w:cs="Arial"/>
              <w:sz w:val="22"/>
              <w:szCs w:val="22"/>
            </w:rPr>
            <w:t xml:space="preserve">such as </w:t>
          </w:r>
        </w:sdtContent>
      </w:sdt>
      <w:r w:rsidRPr="000F1D8D">
        <w:rPr>
          <w:rFonts w:ascii="Arial" w:eastAsia="Arial" w:hAnsi="Arial" w:cs="Arial"/>
          <w:sz w:val="22"/>
          <w:szCs w:val="22"/>
        </w:rPr>
        <w:t>liquid HU, while ensuring that barriers such as cost, delivery, and navigating health care systems are overcome.</w:t>
      </w:r>
    </w:p>
    <w:p w14:paraId="0A1FAB21" w14:textId="77777777" w:rsidR="00A87D76" w:rsidRPr="000F1D8D" w:rsidRDefault="00A87D76" w:rsidP="00EE5008">
      <w:pPr>
        <w:spacing w:line="480" w:lineRule="auto"/>
        <w:jc w:val="both"/>
        <w:rPr>
          <w:rFonts w:ascii="Arial" w:eastAsia="Arial" w:hAnsi="Arial" w:cs="Arial"/>
          <w:b/>
          <w:bCs/>
          <w:sz w:val="22"/>
          <w:szCs w:val="22"/>
        </w:rPr>
      </w:pPr>
    </w:p>
    <w:p w14:paraId="794FAD52" w14:textId="77777777" w:rsidR="00A87D76" w:rsidRPr="000F1D8D" w:rsidRDefault="00A87D76" w:rsidP="00EE5008">
      <w:pPr>
        <w:spacing w:line="480" w:lineRule="auto"/>
        <w:jc w:val="both"/>
        <w:rPr>
          <w:rFonts w:ascii="Arial" w:eastAsia="Arial" w:hAnsi="Arial" w:cs="Arial"/>
          <w:b/>
          <w:bCs/>
          <w:sz w:val="22"/>
          <w:szCs w:val="22"/>
        </w:rPr>
      </w:pPr>
    </w:p>
    <w:p w14:paraId="57D6CF29" w14:textId="77777777" w:rsidR="00A87D76" w:rsidRPr="000F1D8D" w:rsidRDefault="00A87D76" w:rsidP="00EE5008">
      <w:pPr>
        <w:spacing w:line="480" w:lineRule="auto"/>
        <w:jc w:val="both"/>
        <w:rPr>
          <w:rFonts w:ascii="Arial" w:eastAsia="Arial" w:hAnsi="Arial" w:cs="Arial"/>
          <w:b/>
          <w:bCs/>
          <w:sz w:val="22"/>
          <w:szCs w:val="22"/>
        </w:rPr>
      </w:pPr>
    </w:p>
    <w:p w14:paraId="0ADA3975" w14:textId="00B917E8" w:rsidR="00A87D76" w:rsidRPr="000F1D8D" w:rsidRDefault="00A87D76" w:rsidP="00EE5008">
      <w:pPr>
        <w:spacing w:line="480" w:lineRule="auto"/>
        <w:jc w:val="both"/>
        <w:rPr>
          <w:rFonts w:ascii="Arial" w:eastAsia="Arial" w:hAnsi="Arial" w:cs="Arial"/>
          <w:sz w:val="22"/>
          <w:szCs w:val="22"/>
        </w:rPr>
      </w:pPr>
      <w:r w:rsidRPr="000F1D8D">
        <w:rPr>
          <w:rFonts w:ascii="Arial" w:eastAsia="Arial" w:hAnsi="Arial" w:cs="Arial"/>
          <w:b/>
          <w:bCs/>
          <w:sz w:val="22"/>
          <w:szCs w:val="22"/>
        </w:rPr>
        <w:t>References</w:t>
      </w:r>
    </w:p>
    <w:p w14:paraId="70DAFDDD" w14:textId="77777777" w:rsidR="00A87D76" w:rsidRPr="000F1D8D" w:rsidRDefault="00A87D76" w:rsidP="00EE5008">
      <w:pPr>
        <w:widowControl w:val="0"/>
        <w:spacing w:line="480" w:lineRule="auto"/>
        <w:ind w:left="640" w:hanging="640"/>
        <w:jc w:val="both"/>
        <w:rPr>
          <w:rFonts w:ascii="Arial" w:eastAsia="Arial" w:hAnsi="Arial" w:cs="Arial"/>
          <w:sz w:val="22"/>
          <w:szCs w:val="22"/>
        </w:rPr>
      </w:pPr>
    </w:p>
    <w:p w14:paraId="25FF2C8D" w14:textId="6084840E" w:rsidR="00463C5A" w:rsidRPr="000F1D8D" w:rsidRDefault="00C35D44" w:rsidP="00EE5008">
      <w:pPr>
        <w:widowControl w:val="0"/>
        <w:autoSpaceDE w:val="0"/>
        <w:autoSpaceDN w:val="0"/>
        <w:adjustRightInd w:val="0"/>
        <w:spacing w:line="480" w:lineRule="auto"/>
        <w:ind w:left="640" w:hanging="640"/>
        <w:rPr>
          <w:rFonts w:ascii="Arial" w:hAnsi="Arial" w:cs="Arial"/>
          <w:noProof/>
          <w:sz w:val="22"/>
          <w:szCs w:val="22"/>
        </w:rPr>
      </w:pPr>
      <w:r w:rsidRPr="000F1D8D">
        <w:rPr>
          <w:rFonts w:ascii="Arial" w:eastAsia="Arial" w:hAnsi="Arial" w:cs="Arial"/>
          <w:sz w:val="22"/>
          <w:szCs w:val="22"/>
        </w:rPr>
        <w:fldChar w:fldCharType="begin" w:fldLock="1"/>
      </w:r>
      <w:r w:rsidRPr="000F1D8D">
        <w:rPr>
          <w:rFonts w:ascii="Arial" w:eastAsia="Arial" w:hAnsi="Arial" w:cs="Arial"/>
          <w:sz w:val="22"/>
          <w:szCs w:val="22"/>
        </w:rPr>
        <w:instrText xml:space="preserve">ADDIN Mendeley Bibliography CSL_BIBLIOGRAPHY </w:instrText>
      </w:r>
      <w:r w:rsidRPr="000F1D8D">
        <w:rPr>
          <w:rFonts w:ascii="Arial" w:eastAsia="Arial" w:hAnsi="Arial" w:cs="Arial"/>
          <w:sz w:val="22"/>
          <w:szCs w:val="22"/>
        </w:rPr>
        <w:fldChar w:fldCharType="separate"/>
      </w:r>
      <w:r w:rsidR="00463C5A" w:rsidRPr="000F1D8D">
        <w:rPr>
          <w:rFonts w:ascii="Arial" w:hAnsi="Arial" w:cs="Arial"/>
          <w:noProof/>
          <w:sz w:val="22"/>
          <w:szCs w:val="22"/>
        </w:rPr>
        <w:t xml:space="preserve">1. </w:t>
      </w:r>
      <w:r w:rsidR="00463C5A" w:rsidRPr="000F1D8D">
        <w:rPr>
          <w:rFonts w:ascii="Arial" w:hAnsi="Arial" w:cs="Arial"/>
          <w:noProof/>
          <w:sz w:val="22"/>
          <w:szCs w:val="22"/>
        </w:rPr>
        <w:tab/>
        <w:t xml:space="preserve">Nevitt SJ, Jones AP, Howard J. Hydroxyurea (hydroxycarbamide) for sickle cell disease. </w:t>
      </w:r>
      <w:r w:rsidR="00463C5A" w:rsidRPr="000F1D8D">
        <w:rPr>
          <w:rFonts w:ascii="Arial" w:hAnsi="Arial" w:cs="Arial"/>
          <w:i/>
          <w:iCs/>
          <w:noProof/>
          <w:sz w:val="22"/>
          <w:szCs w:val="22"/>
        </w:rPr>
        <w:t>Cochrane Database Syst Rev</w:t>
      </w:r>
      <w:r w:rsidR="00463C5A" w:rsidRPr="000F1D8D">
        <w:rPr>
          <w:rFonts w:ascii="Arial" w:hAnsi="Arial" w:cs="Arial"/>
          <w:noProof/>
          <w:sz w:val="22"/>
          <w:szCs w:val="22"/>
        </w:rPr>
        <w:t xml:space="preserve">. Published online April 20, 2017. </w:t>
      </w:r>
      <w:r w:rsidR="00463C5A" w:rsidRPr="000F1D8D">
        <w:rPr>
          <w:rFonts w:ascii="Arial" w:hAnsi="Arial" w:cs="Arial"/>
          <w:noProof/>
          <w:sz w:val="22"/>
          <w:szCs w:val="22"/>
        </w:rPr>
        <w:lastRenderedPageBreak/>
        <w:t>doi:10.1002/14651858.CD002202.pub2</w:t>
      </w:r>
    </w:p>
    <w:p w14:paraId="495CE3BB" w14:textId="77777777" w:rsidR="00463C5A" w:rsidRPr="000F1D8D" w:rsidRDefault="00463C5A" w:rsidP="00EE5008">
      <w:pPr>
        <w:widowControl w:val="0"/>
        <w:autoSpaceDE w:val="0"/>
        <w:autoSpaceDN w:val="0"/>
        <w:adjustRightInd w:val="0"/>
        <w:spacing w:line="480" w:lineRule="auto"/>
        <w:ind w:left="640" w:hanging="640"/>
        <w:rPr>
          <w:rFonts w:ascii="Arial" w:hAnsi="Arial" w:cs="Arial"/>
          <w:noProof/>
          <w:sz w:val="22"/>
          <w:szCs w:val="22"/>
        </w:rPr>
      </w:pPr>
      <w:r w:rsidRPr="000F1D8D">
        <w:rPr>
          <w:rFonts w:ascii="Arial" w:hAnsi="Arial" w:cs="Arial"/>
          <w:noProof/>
          <w:sz w:val="22"/>
          <w:szCs w:val="22"/>
        </w:rPr>
        <w:t xml:space="preserve">2. </w:t>
      </w:r>
      <w:r w:rsidRPr="000F1D8D">
        <w:rPr>
          <w:rFonts w:ascii="Arial" w:hAnsi="Arial" w:cs="Arial"/>
          <w:noProof/>
          <w:sz w:val="22"/>
          <w:szCs w:val="22"/>
        </w:rPr>
        <w:tab/>
      </w:r>
      <w:r w:rsidRPr="000F1D8D">
        <w:rPr>
          <w:rFonts w:ascii="Arial" w:hAnsi="Arial" w:cs="Arial"/>
          <w:noProof/>
          <w:sz w:val="22"/>
          <w:szCs w:val="22"/>
          <w:lang w:val="nb-NO"/>
        </w:rPr>
        <w:t xml:space="preserve">Sundd P, Gladwin MT, Novelli EM. </w:t>
      </w:r>
      <w:r w:rsidRPr="000F1D8D">
        <w:rPr>
          <w:rFonts w:ascii="Arial" w:hAnsi="Arial" w:cs="Arial"/>
          <w:noProof/>
          <w:sz w:val="22"/>
          <w:szCs w:val="22"/>
        </w:rPr>
        <w:t xml:space="preserve">Pathophysiology of Sickle Cell Disease. </w:t>
      </w:r>
      <w:r w:rsidRPr="000F1D8D">
        <w:rPr>
          <w:rFonts w:ascii="Arial" w:hAnsi="Arial" w:cs="Arial"/>
          <w:i/>
          <w:iCs/>
          <w:noProof/>
          <w:sz w:val="22"/>
          <w:szCs w:val="22"/>
        </w:rPr>
        <w:t>Annu Rev Pathol Mech Dis 2019</w:t>
      </w:r>
      <w:r w:rsidRPr="000F1D8D">
        <w:rPr>
          <w:rFonts w:ascii="Arial" w:hAnsi="Arial" w:cs="Arial"/>
          <w:noProof/>
          <w:sz w:val="22"/>
          <w:szCs w:val="22"/>
        </w:rPr>
        <w:t>. 2018;14:263-292. doi:10.1146/annurev-pathmechdis</w:t>
      </w:r>
    </w:p>
    <w:p w14:paraId="0B9953DB" w14:textId="77777777" w:rsidR="00463C5A" w:rsidRPr="000F1D8D" w:rsidRDefault="00463C5A" w:rsidP="00EE5008">
      <w:pPr>
        <w:widowControl w:val="0"/>
        <w:autoSpaceDE w:val="0"/>
        <w:autoSpaceDN w:val="0"/>
        <w:adjustRightInd w:val="0"/>
        <w:spacing w:line="480" w:lineRule="auto"/>
        <w:ind w:left="640" w:hanging="640"/>
        <w:rPr>
          <w:rFonts w:ascii="Arial" w:hAnsi="Arial" w:cs="Arial"/>
          <w:noProof/>
          <w:sz w:val="22"/>
          <w:szCs w:val="22"/>
        </w:rPr>
      </w:pPr>
      <w:r w:rsidRPr="000F1D8D">
        <w:rPr>
          <w:rFonts w:ascii="Arial" w:hAnsi="Arial" w:cs="Arial"/>
          <w:noProof/>
          <w:sz w:val="22"/>
          <w:szCs w:val="22"/>
        </w:rPr>
        <w:t xml:space="preserve">3. </w:t>
      </w:r>
      <w:r w:rsidRPr="000F1D8D">
        <w:rPr>
          <w:rFonts w:ascii="Arial" w:hAnsi="Arial" w:cs="Arial"/>
          <w:noProof/>
          <w:sz w:val="22"/>
          <w:szCs w:val="22"/>
        </w:rPr>
        <w:tab/>
        <w:t xml:space="preserve">Ware RE, de Montalembert M, Tshilolo L, Abboud MR. Sickle cell disease. </w:t>
      </w:r>
      <w:r w:rsidRPr="000F1D8D">
        <w:rPr>
          <w:rFonts w:ascii="Arial" w:hAnsi="Arial" w:cs="Arial"/>
          <w:i/>
          <w:iCs/>
          <w:noProof/>
          <w:sz w:val="22"/>
          <w:szCs w:val="22"/>
        </w:rPr>
        <w:t>Lancet</w:t>
      </w:r>
      <w:r w:rsidRPr="000F1D8D">
        <w:rPr>
          <w:rFonts w:ascii="Arial" w:hAnsi="Arial" w:cs="Arial"/>
          <w:noProof/>
          <w:sz w:val="22"/>
          <w:szCs w:val="22"/>
        </w:rPr>
        <w:t>. 2017;390(10091):311-323. doi:10.1016/S0140-6736(17)30193-9</w:t>
      </w:r>
    </w:p>
    <w:p w14:paraId="1432A0A6" w14:textId="77777777" w:rsidR="00463C5A" w:rsidRPr="000F1D8D" w:rsidRDefault="00463C5A" w:rsidP="00EE5008">
      <w:pPr>
        <w:widowControl w:val="0"/>
        <w:autoSpaceDE w:val="0"/>
        <w:autoSpaceDN w:val="0"/>
        <w:adjustRightInd w:val="0"/>
        <w:spacing w:line="480" w:lineRule="auto"/>
        <w:ind w:left="640" w:hanging="640"/>
        <w:rPr>
          <w:rFonts w:ascii="Arial" w:hAnsi="Arial" w:cs="Arial"/>
          <w:noProof/>
          <w:sz w:val="22"/>
          <w:szCs w:val="22"/>
        </w:rPr>
      </w:pPr>
      <w:r w:rsidRPr="000F1D8D">
        <w:rPr>
          <w:rFonts w:ascii="Arial" w:hAnsi="Arial" w:cs="Arial"/>
          <w:noProof/>
          <w:sz w:val="22"/>
          <w:szCs w:val="22"/>
        </w:rPr>
        <w:t xml:space="preserve">4. </w:t>
      </w:r>
      <w:r w:rsidRPr="000F1D8D">
        <w:rPr>
          <w:rFonts w:ascii="Arial" w:hAnsi="Arial" w:cs="Arial"/>
          <w:noProof/>
          <w:sz w:val="22"/>
          <w:szCs w:val="22"/>
        </w:rPr>
        <w:tab/>
        <w:t xml:space="preserve">Martin OO, Moquist KL, Hennessy JM, Nelson SC. Invasive pneumococcal disease in children with sickle cell disease in the pneumococcal conjugate vaccine era. </w:t>
      </w:r>
      <w:r w:rsidRPr="000F1D8D">
        <w:rPr>
          <w:rFonts w:ascii="Arial" w:hAnsi="Arial" w:cs="Arial"/>
          <w:i/>
          <w:iCs/>
          <w:noProof/>
          <w:sz w:val="22"/>
          <w:szCs w:val="22"/>
        </w:rPr>
        <w:t>Pediatr Blood Cancer</w:t>
      </w:r>
      <w:r w:rsidRPr="000F1D8D">
        <w:rPr>
          <w:rFonts w:ascii="Arial" w:hAnsi="Arial" w:cs="Arial"/>
          <w:noProof/>
          <w:sz w:val="22"/>
          <w:szCs w:val="22"/>
        </w:rPr>
        <w:t>. 2018;65(1). doi:10.1002/PBC.26713</w:t>
      </w:r>
    </w:p>
    <w:p w14:paraId="7549BA99" w14:textId="77777777" w:rsidR="00463C5A" w:rsidRPr="000F1D8D" w:rsidRDefault="00463C5A" w:rsidP="00EE5008">
      <w:pPr>
        <w:widowControl w:val="0"/>
        <w:autoSpaceDE w:val="0"/>
        <w:autoSpaceDN w:val="0"/>
        <w:adjustRightInd w:val="0"/>
        <w:spacing w:line="480" w:lineRule="auto"/>
        <w:ind w:left="640" w:hanging="640"/>
        <w:rPr>
          <w:rFonts w:ascii="Arial" w:hAnsi="Arial" w:cs="Arial"/>
          <w:noProof/>
          <w:sz w:val="22"/>
          <w:szCs w:val="22"/>
          <w:lang w:val="nb-NO"/>
        </w:rPr>
      </w:pPr>
      <w:r w:rsidRPr="000F1D8D">
        <w:rPr>
          <w:rFonts w:ascii="Arial" w:hAnsi="Arial" w:cs="Arial"/>
          <w:noProof/>
          <w:sz w:val="22"/>
          <w:szCs w:val="22"/>
        </w:rPr>
        <w:t xml:space="preserve">5. </w:t>
      </w:r>
      <w:r w:rsidRPr="000F1D8D">
        <w:rPr>
          <w:rFonts w:ascii="Arial" w:hAnsi="Arial" w:cs="Arial"/>
          <w:noProof/>
          <w:sz w:val="22"/>
          <w:szCs w:val="22"/>
        </w:rPr>
        <w:tab/>
        <w:t xml:space="preserve">Ochocinski D, Dalal M, Black LV, et al. Life-Threatening Infectious Complications in Sickle Cell Disease: A Concise Narrative Review. </w:t>
      </w:r>
      <w:r w:rsidRPr="000F1D8D">
        <w:rPr>
          <w:rFonts w:ascii="Arial" w:hAnsi="Arial" w:cs="Arial"/>
          <w:i/>
          <w:iCs/>
          <w:noProof/>
          <w:sz w:val="22"/>
          <w:szCs w:val="22"/>
          <w:lang w:val="nb-NO"/>
        </w:rPr>
        <w:t>Front Pediatr</w:t>
      </w:r>
      <w:r w:rsidRPr="000F1D8D">
        <w:rPr>
          <w:rFonts w:ascii="Arial" w:hAnsi="Arial" w:cs="Arial"/>
          <w:noProof/>
          <w:sz w:val="22"/>
          <w:szCs w:val="22"/>
          <w:lang w:val="nb-NO"/>
        </w:rPr>
        <w:t>. 2020;8. doi:10.3389/FPED.2020.00038</w:t>
      </w:r>
    </w:p>
    <w:p w14:paraId="28886590" w14:textId="77777777" w:rsidR="00463C5A" w:rsidRPr="000F1D8D" w:rsidRDefault="00463C5A" w:rsidP="00EE5008">
      <w:pPr>
        <w:widowControl w:val="0"/>
        <w:autoSpaceDE w:val="0"/>
        <w:autoSpaceDN w:val="0"/>
        <w:adjustRightInd w:val="0"/>
        <w:spacing w:line="480" w:lineRule="auto"/>
        <w:ind w:left="640" w:hanging="640"/>
        <w:rPr>
          <w:rFonts w:ascii="Arial" w:hAnsi="Arial" w:cs="Arial"/>
          <w:noProof/>
          <w:sz w:val="22"/>
          <w:szCs w:val="22"/>
        </w:rPr>
      </w:pPr>
      <w:r w:rsidRPr="000F1D8D">
        <w:rPr>
          <w:rFonts w:ascii="Arial" w:hAnsi="Arial" w:cs="Arial"/>
          <w:noProof/>
          <w:sz w:val="22"/>
          <w:szCs w:val="22"/>
          <w:lang w:val="nb-NO"/>
        </w:rPr>
        <w:t xml:space="preserve">6. </w:t>
      </w:r>
      <w:r w:rsidRPr="000F1D8D">
        <w:rPr>
          <w:rFonts w:ascii="Arial" w:hAnsi="Arial" w:cs="Arial"/>
          <w:noProof/>
          <w:sz w:val="22"/>
          <w:szCs w:val="22"/>
          <w:lang w:val="nb-NO"/>
        </w:rPr>
        <w:tab/>
        <w:t xml:space="preserve">DeBaun MR, Jordan LC, King AA, et al. </w:t>
      </w:r>
      <w:r w:rsidRPr="000F1D8D">
        <w:rPr>
          <w:rFonts w:ascii="Arial" w:hAnsi="Arial" w:cs="Arial"/>
          <w:noProof/>
          <w:sz w:val="22"/>
          <w:szCs w:val="22"/>
        </w:rPr>
        <w:t xml:space="preserve">American Society of Hematology 2020 guidelines for sickle cell disease: prevention, diagnosis, and treatment of cerebrovascular disease in children and adults. </w:t>
      </w:r>
      <w:r w:rsidRPr="000F1D8D">
        <w:rPr>
          <w:rFonts w:ascii="Arial" w:hAnsi="Arial" w:cs="Arial"/>
          <w:i/>
          <w:iCs/>
          <w:noProof/>
          <w:sz w:val="22"/>
          <w:szCs w:val="22"/>
        </w:rPr>
        <w:t>Blood Adv</w:t>
      </w:r>
      <w:r w:rsidRPr="000F1D8D">
        <w:rPr>
          <w:rFonts w:ascii="Arial" w:hAnsi="Arial" w:cs="Arial"/>
          <w:noProof/>
          <w:sz w:val="22"/>
          <w:szCs w:val="22"/>
        </w:rPr>
        <w:t>. 2020;4(8):1554-1588. doi:10.1182/BLOODADVANCES.2019001142</w:t>
      </w:r>
    </w:p>
    <w:p w14:paraId="13AD0109" w14:textId="77777777" w:rsidR="00463C5A" w:rsidRPr="000F1D8D" w:rsidRDefault="00463C5A" w:rsidP="00EE5008">
      <w:pPr>
        <w:widowControl w:val="0"/>
        <w:autoSpaceDE w:val="0"/>
        <w:autoSpaceDN w:val="0"/>
        <w:adjustRightInd w:val="0"/>
        <w:spacing w:line="480" w:lineRule="auto"/>
        <w:ind w:left="640" w:hanging="640"/>
        <w:rPr>
          <w:rFonts w:ascii="Arial" w:hAnsi="Arial" w:cs="Arial"/>
          <w:noProof/>
          <w:sz w:val="22"/>
          <w:szCs w:val="22"/>
        </w:rPr>
      </w:pPr>
      <w:r w:rsidRPr="000F1D8D">
        <w:rPr>
          <w:rFonts w:ascii="Arial" w:hAnsi="Arial" w:cs="Arial"/>
          <w:noProof/>
          <w:sz w:val="22"/>
          <w:szCs w:val="22"/>
        </w:rPr>
        <w:t xml:space="preserve">7. </w:t>
      </w:r>
      <w:r w:rsidRPr="000F1D8D">
        <w:rPr>
          <w:rFonts w:ascii="Arial" w:hAnsi="Arial" w:cs="Arial"/>
          <w:noProof/>
          <w:sz w:val="22"/>
          <w:szCs w:val="22"/>
        </w:rPr>
        <w:tab/>
        <w:t xml:space="preserve">Brousseau DC, Owens PL, Mosso AL, Panepinto JA, Steiner CA. Acute care utilization and rehospitalizations for sickle cell disease. </w:t>
      </w:r>
      <w:r w:rsidRPr="000F1D8D">
        <w:rPr>
          <w:rFonts w:ascii="Arial" w:hAnsi="Arial" w:cs="Arial"/>
          <w:i/>
          <w:iCs/>
          <w:noProof/>
          <w:sz w:val="22"/>
          <w:szCs w:val="22"/>
        </w:rPr>
        <w:t>JAMA - J Am Med Assoc</w:t>
      </w:r>
      <w:r w:rsidRPr="000F1D8D">
        <w:rPr>
          <w:rFonts w:ascii="Arial" w:hAnsi="Arial" w:cs="Arial"/>
          <w:noProof/>
          <w:sz w:val="22"/>
          <w:szCs w:val="22"/>
        </w:rPr>
        <w:t>. 2010;303(13):1288-1294. doi:10.1001/jama.2010.378</w:t>
      </w:r>
    </w:p>
    <w:p w14:paraId="6F0D60D4" w14:textId="77777777" w:rsidR="00463C5A" w:rsidRPr="000F1D8D" w:rsidRDefault="00463C5A" w:rsidP="00EE5008">
      <w:pPr>
        <w:widowControl w:val="0"/>
        <w:autoSpaceDE w:val="0"/>
        <w:autoSpaceDN w:val="0"/>
        <w:adjustRightInd w:val="0"/>
        <w:spacing w:line="480" w:lineRule="auto"/>
        <w:ind w:left="640" w:hanging="640"/>
        <w:rPr>
          <w:rFonts w:ascii="Arial" w:hAnsi="Arial" w:cs="Arial"/>
          <w:noProof/>
          <w:sz w:val="22"/>
          <w:szCs w:val="22"/>
        </w:rPr>
      </w:pPr>
      <w:r w:rsidRPr="000F1D8D">
        <w:rPr>
          <w:rFonts w:ascii="Arial" w:hAnsi="Arial" w:cs="Arial"/>
          <w:noProof/>
          <w:sz w:val="22"/>
          <w:szCs w:val="22"/>
        </w:rPr>
        <w:t xml:space="preserve">8. </w:t>
      </w:r>
      <w:r w:rsidRPr="000F1D8D">
        <w:rPr>
          <w:rFonts w:ascii="Arial" w:hAnsi="Arial" w:cs="Arial"/>
          <w:noProof/>
          <w:sz w:val="22"/>
          <w:szCs w:val="22"/>
        </w:rPr>
        <w:tab/>
        <w:t xml:space="preserve">Kauf TL, Coates TD, Huazhi L, Mody-Patel N, Hartzema AG. The cost of health care for children and adults with sickle cell disease. </w:t>
      </w:r>
      <w:r w:rsidRPr="000F1D8D">
        <w:rPr>
          <w:rFonts w:ascii="Arial" w:hAnsi="Arial" w:cs="Arial"/>
          <w:i/>
          <w:iCs/>
          <w:noProof/>
          <w:sz w:val="22"/>
          <w:szCs w:val="22"/>
        </w:rPr>
        <w:t>Am J Hematol</w:t>
      </w:r>
      <w:r w:rsidRPr="000F1D8D">
        <w:rPr>
          <w:rFonts w:ascii="Arial" w:hAnsi="Arial" w:cs="Arial"/>
          <w:noProof/>
          <w:sz w:val="22"/>
          <w:szCs w:val="22"/>
        </w:rPr>
        <w:t>. 2009;84(6):323-327. doi:10.1002/ajh.21408</w:t>
      </w:r>
    </w:p>
    <w:p w14:paraId="6F488572" w14:textId="77777777" w:rsidR="00463C5A" w:rsidRPr="000F1D8D" w:rsidRDefault="00463C5A" w:rsidP="00EE5008">
      <w:pPr>
        <w:widowControl w:val="0"/>
        <w:autoSpaceDE w:val="0"/>
        <w:autoSpaceDN w:val="0"/>
        <w:adjustRightInd w:val="0"/>
        <w:spacing w:line="480" w:lineRule="auto"/>
        <w:ind w:left="640" w:hanging="640"/>
        <w:rPr>
          <w:rFonts w:ascii="Arial" w:hAnsi="Arial" w:cs="Arial"/>
          <w:noProof/>
          <w:sz w:val="22"/>
          <w:szCs w:val="22"/>
        </w:rPr>
      </w:pPr>
      <w:r w:rsidRPr="000F1D8D">
        <w:rPr>
          <w:rFonts w:ascii="Arial" w:hAnsi="Arial" w:cs="Arial"/>
          <w:noProof/>
          <w:sz w:val="22"/>
          <w:szCs w:val="22"/>
        </w:rPr>
        <w:t xml:space="preserve">9. </w:t>
      </w:r>
      <w:r w:rsidRPr="000F1D8D">
        <w:rPr>
          <w:rFonts w:ascii="Arial" w:hAnsi="Arial" w:cs="Arial"/>
          <w:noProof/>
          <w:sz w:val="22"/>
          <w:szCs w:val="22"/>
        </w:rPr>
        <w:tab/>
        <w:t xml:space="preserve">Mvundura M, Amendah D, Kavanagh PL, Sprinz PG, Grosse SD. Health Care Utilization and Expenditures for Privately and Publicly Insured Children With Sickle Cell Disease in the United States. </w:t>
      </w:r>
      <w:r w:rsidRPr="000F1D8D">
        <w:rPr>
          <w:rFonts w:ascii="Arial" w:hAnsi="Arial" w:cs="Arial"/>
          <w:i/>
          <w:iCs/>
          <w:noProof/>
          <w:sz w:val="22"/>
          <w:szCs w:val="22"/>
        </w:rPr>
        <w:t>Pediatr Blood Cancer</w:t>
      </w:r>
      <w:r w:rsidRPr="000F1D8D">
        <w:rPr>
          <w:rFonts w:ascii="Arial" w:hAnsi="Arial" w:cs="Arial"/>
          <w:noProof/>
          <w:sz w:val="22"/>
          <w:szCs w:val="22"/>
        </w:rPr>
        <w:t>. 2009;53:642-646. doi:10.1002/pbc.22069</w:t>
      </w:r>
    </w:p>
    <w:p w14:paraId="4C345DED" w14:textId="77777777" w:rsidR="00463C5A" w:rsidRPr="000F1D8D" w:rsidRDefault="00463C5A" w:rsidP="00EE5008">
      <w:pPr>
        <w:widowControl w:val="0"/>
        <w:autoSpaceDE w:val="0"/>
        <w:autoSpaceDN w:val="0"/>
        <w:adjustRightInd w:val="0"/>
        <w:spacing w:line="480" w:lineRule="auto"/>
        <w:ind w:left="640" w:hanging="640"/>
        <w:rPr>
          <w:rFonts w:ascii="Arial" w:hAnsi="Arial" w:cs="Arial"/>
          <w:noProof/>
          <w:sz w:val="22"/>
          <w:szCs w:val="22"/>
        </w:rPr>
      </w:pPr>
      <w:r w:rsidRPr="000F1D8D">
        <w:rPr>
          <w:rFonts w:ascii="Arial" w:hAnsi="Arial" w:cs="Arial"/>
          <w:noProof/>
          <w:sz w:val="22"/>
          <w:szCs w:val="22"/>
        </w:rPr>
        <w:t xml:space="preserve">10. </w:t>
      </w:r>
      <w:r w:rsidRPr="000F1D8D">
        <w:rPr>
          <w:rFonts w:ascii="Arial" w:hAnsi="Arial" w:cs="Arial"/>
          <w:noProof/>
          <w:sz w:val="22"/>
          <w:szCs w:val="22"/>
        </w:rPr>
        <w:tab/>
        <w:t xml:space="preserve">Ballas SK. The cost of health care for patients with sickle cell disease. </w:t>
      </w:r>
      <w:r w:rsidRPr="000F1D8D">
        <w:rPr>
          <w:rFonts w:ascii="Arial" w:hAnsi="Arial" w:cs="Arial"/>
          <w:i/>
          <w:iCs/>
          <w:noProof/>
          <w:sz w:val="22"/>
          <w:szCs w:val="22"/>
        </w:rPr>
        <w:t>Am J Hematol</w:t>
      </w:r>
      <w:r w:rsidRPr="000F1D8D">
        <w:rPr>
          <w:rFonts w:ascii="Arial" w:hAnsi="Arial" w:cs="Arial"/>
          <w:noProof/>
          <w:sz w:val="22"/>
          <w:szCs w:val="22"/>
        </w:rPr>
        <w:t>. 2009;84(6):320-322. doi:10.1002/ajh.21443</w:t>
      </w:r>
    </w:p>
    <w:p w14:paraId="10041C26" w14:textId="77777777" w:rsidR="00463C5A" w:rsidRPr="000F1D8D" w:rsidRDefault="00463C5A" w:rsidP="00EE5008">
      <w:pPr>
        <w:widowControl w:val="0"/>
        <w:autoSpaceDE w:val="0"/>
        <w:autoSpaceDN w:val="0"/>
        <w:adjustRightInd w:val="0"/>
        <w:spacing w:line="480" w:lineRule="auto"/>
        <w:ind w:left="640" w:hanging="640"/>
        <w:rPr>
          <w:rFonts w:ascii="Arial" w:hAnsi="Arial" w:cs="Arial"/>
          <w:noProof/>
          <w:sz w:val="22"/>
          <w:szCs w:val="22"/>
        </w:rPr>
      </w:pPr>
      <w:r w:rsidRPr="000F1D8D">
        <w:rPr>
          <w:rFonts w:ascii="Arial" w:hAnsi="Arial" w:cs="Arial"/>
          <w:noProof/>
          <w:sz w:val="22"/>
          <w:szCs w:val="22"/>
        </w:rPr>
        <w:lastRenderedPageBreak/>
        <w:t xml:space="preserve">11. </w:t>
      </w:r>
      <w:r w:rsidRPr="000F1D8D">
        <w:rPr>
          <w:rFonts w:ascii="Arial" w:hAnsi="Arial" w:cs="Arial"/>
          <w:noProof/>
          <w:sz w:val="22"/>
          <w:szCs w:val="22"/>
        </w:rPr>
        <w:tab/>
        <w:t xml:space="preserve">Lubeck D, Agodoa I, Bhakta N, et al. Estimated Life Expectancy and Income of Patients With Sickle Cell Disease Compared With Those Without Sickle Cell Disease. </w:t>
      </w:r>
      <w:r w:rsidRPr="000F1D8D">
        <w:rPr>
          <w:rFonts w:ascii="Arial" w:hAnsi="Arial" w:cs="Arial"/>
          <w:i/>
          <w:iCs/>
          <w:noProof/>
          <w:sz w:val="22"/>
          <w:szCs w:val="22"/>
        </w:rPr>
        <w:t>JAMA Netw open</w:t>
      </w:r>
      <w:r w:rsidRPr="000F1D8D">
        <w:rPr>
          <w:rFonts w:ascii="Arial" w:hAnsi="Arial" w:cs="Arial"/>
          <w:noProof/>
          <w:sz w:val="22"/>
          <w:szCs w:val="22"/>
        </w:rPr>
        <w:t>. 2019;2(11):e1915374. doi:10.1001/jamanetworkopen.2019.15374</w:t>
      </w:r>
    </w:p>
    <w:p w14:paraId="08B8A97C" w14:textId="77777777" w:rsidR="00463C5A" w:rsidRPr="000F1D8D" w:rsidRDefault="00463C5A" w:rsidP="00EE5008">
      <w:pPr>
        <w:widowControl w:val="0"/>
        <w:autoSpaceDE w:val="0"/>
        <w:autoSpaceDN w:val="0"/>
        <w:adjustRightInd w:val="0"/>
        <w:spacing w:line="480" w:lineRule="auto"/>
        <w:ind w:left="640" w:hanging="640"/>
        <w:rPr>
          <w:rFonts w:ascii="Arial" w:hAnsi="Arial" w:cs="Arial"/>
          <w:noProof/>
          <w:sz w:val="22"/>
          <w:szCs w:val="22"/>
        </w:rPr>
      </w:pPr>
      <w:r w:rsidRPr="000F1D8D">
        <w:rPr>
          <w:rFonts w:ascii="Arial" w:hAnsi="Arial" w:cs="Arial"/>
          <w:noProof/>
          <w:sz w:val="22"/>
          <w:szCs w:val="22"/>
        </w:rPr>
        <w:t xml:space="preserve">12. </w:t>
      </w:r>
      <w:r w:rsidRPr="000F1D8D">
        <w:rPr>
          <w:rFonts w:ascii="Arial" w:hAnsi="Arial" w:cs="Arial"/>
          <w:noProof/>
          <w:sz w:val="22"/>
          <w:szCs w:val="22"/>
        </w:rPr>
        <w:tab/>
        <w:t xml:space="preserve">Telen MJ, Malik P, Vercellotti GM. Therapeutic strategies for sickle cell disease: towards a multi-agent approach. </w:t>
      </w:r>
      <w:r w:rsidRPr="000F1D8D">
        <w:rPr>
          <w:rFonts w:ascii="Arial" w:hAnsi="Arial" w:cs="Arial"/>
          <w:i/>
          <w:iCs/>
          <w:noProof/>
          <w:sz w:val="22"/>
          <w:szCs w:val="22"/>
        </w:rPr>
        <w:t>Nat Rev Drug Discov</w:t>
      </w:r>
      <w:r w:rsidRPr="000F1D8D">
        <w:rPr>
          <w:rFonts w:ascii="Arial" w:hAnsi="Arial" w:cs="Arial"/>
          <w:noProof/>
          <w:sz w:val="22"/>
          <w:szCs w:val="22"/>
        </w:rPr>
        <w:t>. 2019;18(2):139-158. doi:10.1038/S41573-018-0003-2</w:t>
      </w:r>
    </w:p>
    <w:p w14:paraId="2F4ABF0F" w14:textId="77777777" w:rsidR="00463C5A" w:rsidRPr="000F1D8D" w:rsidRDefault="00463C5A" w:rsidP="00EE5008">
      <w:pPr>
        <w:widowControl w:val="0"/>
        <w:autoSpaceDE w:val="0"/>
        <w:autoSpaceDN w:val="0"/>
        <w:adjustRightInd w:val="0"/>
        <w:spacing w:line="480" w:lineRule="auto"/>
        <w:ind w:left="640" w:hanging="640"/>
        <w:rPr>
          <w:rFonts w:ascii="Arial" w:hAnsi="Arial" w:cs="Arial"/>
          <w:noProof/>
          <w:sz w:val="22"/>
          <w:szCs w:val="22"/>
        </w:rPr>
      </w:pPr>
      <w:r w:rsidRPr="000F1D8D">
        <w:rPr>
          <w:rFonts w:ascii="Arial" w:hAnsi="Arial" w:cs="Arial"/>
          <w:noProof/>
          <w:sz w:val="22"/>
          <w:szCs w:val="22"/>
        </w:rPr>
        <w:t xml:space="preserve">13. </w:t>
      </w:r>
      <w:r w:rsidRPr="000F1D8D">
        <w:rPr>
          <w:rFonts w:ascii="Arial" w:hAnsi="Arial" w:cs="Arial"/>
          <w:noProof/>
          <w:sz w:val="22"/>
          <w:szCs w:val="22"/>
        </w:rPr>
        <w:tab/>
        <w:t xml:space="preserve">Meier ER, Rampersad A. Pediatric sickle cell disease: past successes and future challenges. </w:t>
      </w:r>
      <w:r w:rsidRPr="000F1D8D">
        <w:rPr>
          <w:rFonts w:ascii="Arial" w:hAnsi="Arial" w:cs="Arial"/>
          <w:i/>
          <w:iCs/>
          <w:noProof/>
          <w:sz w:val="22"/>
          <w:szCs w:val="22"/>
        </w:rPr>
        <w:t>Pediatr Res</w:t>
      </w:r>
      <w:r w:rsidRPr="000F1D8D">
        <w:rPr>
          <w:rFonts w:ascii="Arial" w:hAnsi="Arial" w:cs="Arial"/>
          <w:noProof/>
          <w:sz w:val="22"/>
          <w:szCs w:val="22"/>
        </w:rPr>
        <w:t>. 2017;81(1-2):249-258. doi:10.1038/PR.2016.204</w:t>
      </w:r>
    </w:p>
    <w:p w14:paraId="61906116" w14:textId="77777777" w:rsidR="00463C5A" w:rsidRPr="000F1D8D" w:rsidRDefault="00463C5A" w:rsidP="00EE5008">
      <w:pPr>
        <w:widowControl w:val="0"/>
        <w:autoSpaceDE w:val="0"/>
        <w:autoSpaceDN w:val="0"/>
        <w:adjustRightInd w:val="0"/>
        <w:spacing w:line="480" w:lineRule="auto"/>
        <w:ind w:left="640" w:hanging="640"/>
        <w:rPr>
          <w:rFonts w:ascii="Arial" w:hAnsi="Arial" w:cs="Arial"/>
          <w:noProof/>
          <w:sz w:val="22"/>
          <w:szCs w:val="22"/>
        </w:rPr>
      </w:pPr>
      <w:r w:rsidRPr="000F1D8D">
        <w:rPr>
          <w:rFonts w:ascii="Arial" w:hAnsi="Arial" w:cs="Arial"/>
          <w:noProof/>
          <w:sz w:val="22"/>
          <w:szCs w:val="22"/>
        </w:rPr>
        <w:t xml:space="preserve">14. </w:t>
      </w:r>
      <w:r w:rsidRPr="000F1D8D">
        <w:rPr>
          <w:rFonts w:ascii="Arial" w:hAnsi="Arial" w:cs="Arial"/>
          <w:noProof/>
          <w:sz w:val="22"/>
          <w:szCs w:val="22"/>
        </w:rPr>
        <w:tab/>
        <w:t xml:space="preserve">Armstrong FD, Emory ) ;, Wang WC, et al. Hydroxycarbamide in very young children with sickle-cell anaemia: A multicentre, randomised, controlled trial (BABY HUG). </w:t>
      </w:r>
      <w:r w:rsidRPr="000F1D8D">
        <w:rPr>
          <w:rFonts w:ascii="Arial" w:hAnsi="Arial" w:cs="Arial"/>
          <w:i/>
          <w:iCs/>
          <w:noProof/>
          <w:sz w:val="22"/>
          <w:szCs w:val="22"/>
        </w:rPr>
        <w:t>Lancet</w:t>
      </w:r>
      <w:r w:rsidRPr="000F1D8D">
        <w:rPr>
          <w:rFonts w:ascii="Arial" w:hAnsi="Arial" w:cs="Arial"/>
          <w:noProof/>
          <w:sz w:val="22"/>
          <w:szCs w:val="22"/>
        </w:rPr>
        <w:t>. 2011;377(9778):1663-1672. doi:10.1016/S0140-6736(11)60355-3</w:t>
      </w:r>
    </w:p>
    <w:p w14:paraId="7AE9837F" w14:textId="77777777" w:rsidR="00463C5A" w:rsidRPr="000F1D8D" w:rsidRDefault="00463C5A" w:rsidP="00EE5008">
      <w:pPr>
        <w:widowControl w:val="0"/>
        <w:autoSpaceDE w:val="0"/>
        <w:autoSpaceDN w:val="0"/>
        <w:adjustRightInd w:val="0"/>
        <w:spacing w:line="480" w:lineRule="auto"/>
        <w:ind w:left="640" w:hanging="640"/>
        <w:rPr>
          <w:rFonts w:ascii="Arial" w:hAnsi="Arial" w:cs="Arial"/>
          <w:noProof/>
          <w:sz w:val="22"/>
          <w:szCs w:val="22"/>
        </w:rPr>
      </w:pPr>
      <w:r w:rsidRPr="000F1D8D">
        <w:rPr>
          <w:rFonts w:ascii="Arial" w:hAnsi="Arial" w:cs="Arial"/>
          <w:noProof/>
          <w:sz w:val="22"/>
          <w:szCs w:val="22"/>
        </w:rPr>
        <w:t xml:space="preserve">15. </w:t>
      </w:r>
      <w:r w:rsidRPr="000F1D8D">
        <w:rPr>
          <w:rFonts w:ascii="Arial" w:hAnsi="Arial" w:cs="Arial"/>
          <w:noProof/>
          <w:sz w:val="22"/>
          <w:szCs w:val="22"/>
        </w:rPr>
        <w:tab/>
        <w:t xml:space="preserve">Brousseau DC, Richardson T, Hall M, et al. Hydroxyurea use for sickle cell disease among medicaid-enrolled children. </w:t>
      </w:r>
      <w:r w:rsidRPr="000F1D8D">
        <w:rPr>
          <w:rFonts w:ascii="Arial" w:hAnsi="Arial" w:cs="Arial"/>
          <w:i/>
          <w:iCs/>
          <w:noProof/>
          <w:sz w:val="22"/>
          <w:szCs w:val="22"/>
        </w:rPr>
        <w:t>Pediatrics</w:t>
      </w:r>
      <w:r w:rsidRPr="000F1D8D">
        <w:rPr>
          <w:rFonts w:ascii="Arial" w:hAnsi="Arial" w:cs="Arial"/>
          <w:noProof/>
          <w:sz w:val="22"/>
          <w:szCs w:val="22"/>
        </w:rPr>
        <w:t>. 2019;144(1). doi:10.1542/peds.2018-3285</w:t>
      </w:r>
    </w:p>
    <w:p w14:paraId="6B669EAA" w14:textId="77777777" w:rsidR="00463C5A" w:rsidRPr="000F1D8D" w:rsidRDefault="00463C5A" w:rsidP="00EE5008">
      <w:pPr>
        <w:widowControl w:val="0"/>
        <w:autoSpaceDE w:val="0"/>
        <w:autoSpaceDN w:val="0"/>
        <w:adjustRightInd w:val="0"/>
        <w:spacing w:line="480" w:lineRule="auto"/>
        <w:ind w:left="640" w:hanging="640"/>
        <w:rPr>
          <w:rFonts w:ascii="Arial" w:hAnsi="Arial" w:cs="Arial"/>
          <w:noProof/>
          <w:sz w:val="22"/>
          <w:szCs w:val="22"/>
        </w:rPr>
      </w:pPr>
      <w:r w:rsidRPr="000F1D8D">
        <w:rPr>
          <w:rFonts w:ascii="Arial" w:hAnsi="Arial" w:cs="Arial"/>
          <w:noProof/>
          <w:sz w:val="22"/>
          <w:szCs w:val="22"/>
        </w:rPr>
        <w:t xml:space="preserve">16. </w:t>
      </w:r>
      <w:r w:rsidRPr="000F1D8D">
        <w:rPr>
          <w:rFonts w:ascii="Arial" w:hAnsi="Arial" w:cs="Arial"/>
          <w:noProof/>
          <w:sz w:val="22"/>
          <w:szCs w:val="22"/>
        </w:rPr>
        <w:tab/>
        <w:t xml:space="preserve">Canfield SL, Zuckerman A, Anguiano RH, et al. Navigating the Wild West of Medication Adherence Reporting in Specialty Pharmacy. </w:t>
      </w:r>
      <w:r w:rsidRPr="000F1D8D">
        <w:rPr>
          <w:rFonts w:ascii="Arial" w:hAnsi="Arial" w:cs="Arial"/>
          <w:i/>
          <w:iCs/>
          <w:noProof/>
          <w:sz w:val="22"/>
          <w:szCs w:val="22"/>
        </w:rPr>
        <w:t>J Manag care Spec Pharm</w:t>
      </w:r>
      <w:r w:rsidRPr="000F1D8D">
        <w:rPr>
          <w:rFonts w:ascii="Arial" w:hAnsi="Arial" w:cs="Arial"/>
          <w:noProof/>
          <w:sz w:val="22"/>
          <w:szCs w:val="22"/>
        </w:rPr>
        <w:t>. 2019;25(10):1073-1077. doi:10.18553/JMCP.2019.25.10.1073</w:t>
      </w:r>
    </w:p>
    <w:p w14:paraId="5AE1BF97" w14:textId="77777777" w:rsidR="00463C5A" w:rsidRPr="000F1D8D" w:rsidRDefault="00463C5A" w:rsidP="00EE5008">
      <w:pPr>
        <w:widowControl w:val="0"/>
        <w:autoSpaceDE w:val="0"/>
        <w:autoSpaceDN w:val="0"/>
        <w:adjustRightInd w:val="0"/>
        <w:spacing w:line="480" w:lineRule="auto"/>
        <w:ind w:left="640" w:hanging="640"/>
        <w:rPr>
          <w:rFonts w:ascii="Arial" w:hAnsi="Arial" w:cs="Arial"/>
          <w:noProof/>
          <w:sz w:val="22"/>
          <w:szCs w:val="22"/>
        </w:rPr>
      </w:pPr>
      <w:r w:rsidRPr="000F1D8D">
        <w:rPr>
          <w:rFonts w:ascii="Arial" w:hAnsi="Arial" w:cs="Arial"/>
          <w:noProof/>
          <w:sz w:val="22"/>
          <w:szCs w:val="22"/>
        </w:rPr>
        <w:t xml:space="preserve">17. </w:t>
      </w:r>
      <w:r w:rsidRPr="000F1D8D">
        <w:rPr>
          <w:rFonts w:ascii="Arial" w:hAnsi="Arial" w:cs="Arial"/>
          <w:noProof/>
          <w:sz w:val="22"/>
          <w:szCs w:val="22"/>
        </w:rPr>
        <w:tab/>
        <w:t xml:space="preserve">Green NS, Manwani D, Matos S, et al. Randomized feasibility trial to improve hydroxyurea adherence in youth ages 10-18 years through community health workers: The HABIT study. </w:t>
      </w:r>
      <w:r w:rsidRPr="000F1D8D">
        <w:rPr>
          <w:rFonts w:ascii="Arial" w:hAnsi="Arial" w:cs="Arial"/>
          <w:i/>
          <w:iCs/>
          <w:noProof/>
          <w:sz w:val="22"/>
          <w:szCs w:val="22"/>
        </w:rPr>
        <w:t>Pediatr Blood Cancer</w:t>
      </w:r>
      <w:r w:rsidRPr="000F1D8D">
        <w:rPr>
          <w:rFonts w:ascii="Arial" w:hAnsi="Arial" w:cs="Arial"/>
          <w:noProof/>
          <w:sz w:val="22"/>
          <w:szCs w:val="22"/>
        </w:rPr>
        <w:t>. 2017;64(12). doi:10.1002/PBC.26689</w:t>
      </w:r>
    </w:p>
    <w:p w14:paraId="217FE9FC" w14:textId="77777777" w:rsidR="00463C5A" w:rsidRPr="000F1D8D" w:rsidRDefault="00463C5A" w:rsidP="00EE5008">
      <w:pPr>
        <w:widowControl w:val="0"/>
        <w:autoSpaceDE w:val="0"/>
        <w:autoSpaceDN w:val="0"/>
        <w:adjustRightInd w:val="0"/>
        <w:spacing w:line="480" w:lineRule="auto"/>
        <w:ind w:left="640" w:hanging="640"/>
        <w:rPr>
          <w:rFonts w:ascii="Arial" w:hAnsi="Arial" w:cs="Arial"/>
          <w:noProof/>
          <w:sz w:val="22"/>
          <w:szCs w:val="22"/>
        </w:rPr>
      </w:pPr>
      <w:r w:rsidRPr="000F1D8D">
        <w:rPr>
          <w:rFonts w:ascii="Arial" w:hAnsi="Arial" w:cs="Arial"/>
          <w:noProof/>
          <w:sz w:val="22"/>
          <w:szCs w:val="22"/>
        </w:rPr>
        <w:t xml:space="preserve">18. </w:t>
      </w:r>
      <w:r w:rsidRPr="000F1D8D">
        <w:rPr>
          <w:rFonts w:ascii="Arial" w:hAnsi="Arial" w:cs="Arial"/>
          <w:noProof/>
          <w:sz w:val="22"/>
          <w:szCs w:val="22"/>
        </w:rPr>
        <w:tab/>
        <w:t xml:space="preserve">Anders DG, Tang F, Ledneva T, et al. Hydroxyurea Use in Young Children With Sickle Cell Anemia in New York State. </w:t>
      </w:r>
      <w:r w:rsidRPr="000F1D8D">
        <w:rPr>
          <w:rFonts w:ascii="Arial" w:hAnsi="Arial" w:cs="Arial"/>
          <w:i/>
          <w:iCs/>
          <w:noProof/>
          <w:sz w:val="22"/>
          <w:szCs w:val="22"/>
        </w:rPr>
        <w:t>Am J Prev Med</w:t>
      </w:r>
      <w:r w:rsidRPr="000F1D8D">
        <w:rPr>
          <w:rFonts w:ascii="Arial" w:hAnsi="Arial" w:cs="Arial"/>
          <w:noProof/>
          <w:sz w:val="22"/>
          <w:szCs w:val="22"/>
        </w:rPr>
        <w:t>. 2016;51(1 Suppl 1):S31-S38. doi:10.1016/J.AMEPRE.2016.01.001</w:t>
      </w:r>
    </w:p>
    <w:p w14:paraId="43403220" w14:textId="77777777" w:rsidR="00463C5A" w:rsidRPr="000F1D8D" w:rsidRDefault="00463C5A" w:rsidP="00EE5008">
      <w:pPr>
        <w:widowControl w:val="0"/>
        <w:autoSpaceDE w:val="0"/>
        <w:autoSpaceDN w:val="0"/>
        <w:adjustRightInd w:val="0"/>
        <w:spacing w:line="480" w:lineRule="auto"/>
        <w:ind w:left="640" w:hanging="640"/>
        <w:rPr>
          <w:rFonts w:ascii="Arial" w:hAnsi="Arial" w:cs="Arial"/>
          <w:noProof/>
          <w:sz w:val="22"/>
          <w:szCs w:val="22"/>
        </w:rPr>
      </w:pPr>
      <w:r w:rsidRPr="000F1D8D">
        <w:rPr>
          <w:rFonts w:ascii="Arial" w:hAnsi="Arial" w:cs="Arial"/>
          <w:noProof/>
          <w:sz w:val="22"/>
          <w:szCs w:val="22"/>
        </w:rPr>
        <w:t xml:space="preserve">19. </w:t>
      </w:r>
      <w:r w:rsidRPr="000F1D8D">
        <w:rPr>
          <w:rFonts w:ascii="Arial" w:hAnsi="Arial" w:cs="Arial"/>
          <w:noProof/>
          <w:sz w:val="22"/>
          <w:szCs w:val="22"/>
        </w:rPr>
        <w:tab/>
        <w:t xml:space="preserve">Candrilli SD, O’Brien SH, Ware RE, Nahata MC, Seiber EE, Balkrishnan R. Hydroxyurea adherence and associated outcomes among Medicaid enrollees with sickle cell disease. </w:t>
      </w:r>
      <w:r w:rsidRPr="000F1D8D">
        <w:rPr>
          <w:rFonts w:ascii="Arial" w:hAnsi="Arial" w:cs="Arial"/>
          <w:i/>
          <w:iCs/>
          <w:noProof/>
          <w:sz w:val="22"/>
          <w:szCs w:val="22"/>
        </w:rPr>
        <w:t>Am J Hematol</w:t>
      </w:r>
      <w:r w:rsidRPr="000F1D8D">
        <w:rPr>
          <w:rFonts w:ascii="Arial" w:hAnsi="Arial" w:cs="Arial"/>
          <w:noProof/>
          <w:sz w:val="22"/>
          <w:szCs w:val="22"/>
        </w:rPr>
        <w:t>. 2011;86(3):273-277. doi:10.1002/ajh.21968</w:t>
      </w:r>
    </w:p>
    <w:p w14:paraId="10CFDDB4" w14:textId="77777777" w:rsidR="00463C5A" w:rsidRPr="000F1D8D" w:rsidRDefault="00463C5A" w:rsidP="00EE5008">
      <w:pPr>
        <w:widowControl w:val="0"/>
        <w:autoSpaceDE w:val="0"/>
        <w:autoSpaceDN w:val="0"/>
        <w:adjustRightInd w:val="0"/>
        <w:spacing w:line="480" w:lineRule="auto"/>
        <w:ind w:left="640" w:hanging="640"/>
        <w:rPr>
          <w:rFonts w:ascii="Arial" w:hAnsi="Arial" w:cs="Arial"/>
          <w:noProof/>
          <w:sz w:val="22"/>
          <w:szCs w:val="22"/>
        </w:rPr>
      </w:pPr>
      <w:r w:rsidRPr="000F1D8D">
        <w:rPr>
          <w:rFonts w:ascii="Arial" w:hAnsi="Arial" w:cs="Arial"/>
          <w:noProof/>
          <w:sz w:val="22"/>
          <w:szCs w:val="22"/>
        </w:rPr>
        <w:t xml:space="preserve">20. </w:t>
      </w:r>
      <w:r w:rsidRPr="000F1D8D">
        <w:rPr>
          <w:rFonts w:ascii="Arial" w:hAnsi="Arial" w:cs="Arial"/>
          <w:noProof/>
          <w:sz w:val="22"/>
          <w:szCs w:val="22"/>
        </w:rPr>
        <w:tab/>
        <w:t xml:space="preserve">Walsh KE, Cutrona SL, Kavanagh PL, et al. Medication adherence among pediatric </w:t>
      </w:r>
      <w:r w:rsidRPr="000F1D8D">
        <w:rPr>
          <w:rFonts w:ascii="Arial" w:hAnsi="Arial" w:cs="Arial"/>
          <w:noProof/>
          <w:sz w:val="22"/>
          <w:szCs w:val="22"/>
        </w:rPr>
        <w:lastRenderedPageBreak/>
        <w:t xml:space="preserve">patients with sickle cell disease: A systematic review. </w:t>
      </w:r>
      <w:r w:rsidRPr="000F1D8D">
        <w:rPr>
          <w:rFonts w:ascii="Arial" w:hAnsi="Arial" w:cs="Arial"/>
          <w:i/>
          <w:iCs/>
          <w:noProof/>
          <w:sz w:val="22"/>
          <w:szCs w:val="22"/>
        </w:rPr>
        <w:t>Pediatrics</w:t>
      </w:r>
      <w:r w:rsidRPr="000F1D8D">
        <w:rPr>
          <w:rFonts w:ascii="Arial" w:hAnsi="Arial" w:cs="Arial"/>
          <w:noProof/>
          <w:sz w:val="22"/>
          <w:szCs w:val="22"/>
        </w:rPr>
        <w:t>. 2014;134(6):1175-1183. doi:10.1542/peds.2014-0177</w:t>
      </w:r>
    </w:p>
    <w:p w14:paraId="11790155" w14:textId="77777777" w:rsidR="00463C5A" w:rsidRPr="000F1D8D" w:rsidRDefault="00463C5A" w:rsidP="00EE5008">
      <w:pPr>
        <w:widowControl w:val="0"/>
        <w:autoSpaceDE w:val="0"/>
        <w:autoSpaceDN w:val="0"/>
        <w:adjustRightInd w:val="0"/>
        <w:spacing w:line="480" w:lineRule="auto"/>
        <w:ind w:left="640" w:hanging="640"/>
        <w:rPr>
          <w:rFonts w:ascii="Arial" w:hAnsi="Arial" w:cs="Arial"/>
          <w:noProof/>
          <w:sz w:val="22"/>
          <w:szCs w:val="22"/>
        </w:rPr>
      </w:pPr>
      <w:r w:rsidRPr="000F1D8D">
        <w:rPr>
          <w:rFonts w:ascii="Arial" w:hAnsi="Arial" w:cs="Arial"/>
          <w:noProof/>
          <w:sz w:val="22"/>
          <w:szCs w:val="22"/>
        </w:rPr>
        <w:t xml:space="preserve">21. </w:t>
      </w:r>
      <w:r w:rsidRPr="000F1D8D">
        <w:rPr>
          <w:rFonts w:ascii="Arial" w:hAnsi="Arial" w:cs="Arial"/>
          <w:noProof/>
          <w:sz w:val="22"/>
          <w:szCs w:val="22"/>
        </w:rPr>
        <w:tab/>
        <w:t xml:space="preserve">Brandow AM, Panepinto JA. Hydroxyurea use in sickle cell disease: the battle with low prescription rates, poor patient compliance and fears of toxicities. </w:t>
      </w:r>
      <w:r w:rsidRPr="000F1D8D">
        <w:rPr>
          <w:rFonts w:ascii="Arial" w:hAnsi="Arial" w:cs="Arial"/>
          <w:i/>
          <w:iCs/>
          <w:noProof/>
          <w:sz w:val="22"/>
          <w:szCs w:val="22"/>
        </w:rPr>
        <w:t>Expert Rev Hematol</w:t>
      </w:r>
      <w:r w:rsidRPr="000F1D8D">
        <w:rPr>
          <w:rFonts w:ascii="Arial" w:hAnsi="Arial" w:cs="Arial"/>
          <w:noProof/>
          <w:sz w:val="22"/>
          <w:szCs w:val="22"/>
        </w:rPr>
        <w:t>. 2010;3(3):255-260. doi:10.1586/EHM.10.22</w:t>
      </w:r>
    </w:p>
    <w:p w14:paraId="6A34E388" w14:textId="77777777" w:rsidR="00463C5A" w:rsidRPr="000F1D8D" w:rsidRDefault="00463C5A" w:rsidP="00EE5008">
      <w:pPr>
        <w:widowControl w:val="0"/>
        <w:autoSpaceDE w:val="0"/>
        <w:autoSpaceDN w:val="0"/>
        <w:adjustRightInd w:val="0"/>
        <w:spacing w:line="480" w:lineRule="auto"/>
        <w:ind w:left="640" w:hanging="640"/>
        <w:rPr>
          <w:rFonts w:ascii="Arial" w:hAnsi="Arial" w:cs="Arial"/>
          <w:noProof/>
          <w:sz w:val="22"/>
          <w:szCs w:val="22"/>
        </w:rPr>
      </w:pPr>
      <w:r w:rsidRPr="000F1D8D">
        <w:rPr>
          <w:rFonts w:ascii="Arial" w:hAnsi="Arial" w:cs="Arial"/>
          <w:noProof/>
          <w:sz w:val="22"/>
          <w:szCs w:val="22"/>
        </w:rPr>
        <w:t xml:space="preserve">22. </w:t>
      </w:r>
      <w:r w:rsidRPr="000F1D8D">
        <w:rPr>
          <w:rFonts w:ascii="Arial" w:hAnsi="Arial" w:cs="Arial"/>
          <w:noProof/>
          <w:sz w:val="22"/>
          <w:szCs w:val="22"/>
        </w:rPr>
        <w:tab/>
        <w:t xml:space="preserve">Smaldone A, Findley S, Manwani D, Jia H, Green NS. HABIT, a Randomized Feasibility Trial to Increase Hydroxyurea Adherence, Suggests Improved Health-Related Quality of Life in Youths with Sickle Cell Disease. </w:t>
      </w:r>
      <w:r w:rsidRPr="000F1D8D">
        <w:rPr>
          <w:rFonts w:ascii="Arial" w:hAnsi="Arial" w:cs="Arial"/>
          <w:i/>
          <w:iCs/>
          <w:noProof/>
          <w:sz w:val="22"/>
          <w:szCs w:val="22"/>
        </w:rPr>
        <w:t>J Pediatr</w:t>
      </w:r>
      <w:r w:rsidRPr="000F1D8D">
        <w:rPr>
          <w:rFonts w:ascii="Arial" w:hAnsi="Arial" w:cs="Arial"/>
          <w:noProof/>
          <w:sz w:val="22"/>
          <w:szCs w:val="22"/>
        </w:rPr>
        <w:t>. 2018;197:177-185.e2. doi:10.1016/j.jpeds.2018.01.054</w:t>
      </w:r>
    </w:p>
    <w:p w14:paraId="0A09C774" w14:textId="77777777" w:rsidR="00463C5A" w:rsidRPr="000F1D8D" w:rsidRDefault="00463C5A" w:rsidP="00EE5008">
      <w:pPr>
        <w:widowControl w:val="0"/>
        <w:autoSpaceDE w:val="0"/>
        <w:autoSpaceDN w:val="0"/>
        <w:adjustRightInd w:val="0"/>
        <w:spacing w:line="480" w:lineRule="auto"/>
        <w:ind w:left="640" w:hanging="640"/>
        <w:rPr>
          <w:rFonts w:ascii="Arial" w:hAnsi="Arial" w:cs="Arial"/>
          <w:noProof/>
          <w:sz w:val="22"/>
          <w:szCs w:val="22"/>
        </w:rPr>
      </w:pPr>
      <w:r w:rsidRPr="000F1D8D">
        <w:rPr>
          <w:rFonts w:ascii="Arial" w:hAnsi="Arial" w:cs="Arial"/>
          <w:noProof/>
          <w:sz w:val="22"/>
          <w:szCs w:val="22"/>
        </w:rPr>
        <w:t xml:space="preserve">23. </w:t>
      </w:r>
      <w:r w:rsidRPr="000F1D8D">
        <w:rPr>
          <w:rFonts w:ascii="Arial" w:hAnsi="Arial" w:cs="Arial"/>
          <w:noProof/>
          <w:sz w:val="22"/>
          <w:szCs w:val="22"/>
        </w:rPr>
        <w:tab/>
        <w:t xml:space="preserve">Thornburg CD, Calatroni A, Telen M, Kemper AR. Adherence to Hydroxyurea Therapy in Children with Sickle Cell Anemia. </w:t>
      </w:r>
      <w:r w:rsidRPr="000F1D8D">
        <w:rPr>
          <w:rFonts w:ascii="Arial" w:hAnsi="Arial" w:cs="Arial"/>
          <w:i/>
          <w:iCs/>
          <w:noProof/>
          <w:sz w:val="22"/>
          <w:szCs w:val="22"/>
        </w:rPr>
        <w:t>J Pediatr</w:t>
      </w:r>
      <w:r w:rsidRPr="000F1D8D">
        <w:rPr>
          <w:rFonts w:ascii="Arial" w:hAnsi="Arial" w:cs="Arial"/>
          <w:noProof/>
          <w:sz w:val="22"/>
          <w:szCs w:val="22"/>
        </w:rPr>
        <w:t>. 2010;156(3):415-419. doi:10.1016/j.jpeds.2009.09.044</w:t>
      </w:r>
    </w:p>
    <w:p w14:paraId="343567F6" w14:textId="77777777" w:rsidR="00463C5A" w:rsidRPr="000F1D8D" w:rsidRDefault="00463C5A" w:rsidP="00EE5008">
      <w:pPr>
        <w:widowControl w:val="0"/>
        <w:autoSpaceDE w:val="0"/>
        <w:autoSpaceDN w:val="0"/>
        <w:adjustRightInd w:val="0"/>
        <w:spacing w:line="480" w:lineRule="auto"/>
        <w:ind w:left="640" w:hanging="640"/>
        <w:rPr>
          <w:rFonts w:ascii="Arial" w:hAnsi="Arial" w:cs="Arial"/>
          <w:noProof/>
          <w:sz w:val="22"/>
          <w:szCs w:val="22"/>
        </w:rPr>
      </w:pPr>
      <w:r w:rsidRPr="000F1D8D">
        <w:rPr>
          <w:rFonts w:ascii="Arial" w:hAnsi="Arial" w:cs="Arial"/>
          <w:noProof/>
          <w:sz w:val="22"/>
          <w:szCs w:val="22"/>
        </w:rPr>
        <w:t xml:space="preserve">24. </w:t>
      </w:r>
      <w:r w:rsidRPr="000F1D8D">
        <w:rPr>
          <w:rFonts w:ascii="Arial" w:hAnsi="Arial" w:cs="Arial"/>
          <w:noProof/>
          <w:sz w:val="22"/>
          <w:szCs w:val="22"/>
        </w:rPr>
        <w:tab/>
        <w:t xml:space="preserve">Cronin RM, Hankins JS, Byrd J, et al. Risk factors for hospitalizations and readmissions among individuals with sickle cell disease: results of a U.S. survey study. </w:t>
      </w:r>
      <w:r w:rsidRPr="000F1D8D">
        <w:rPr>
          <w:rFonts w:ascii="Arial" w:hAnsi="Arial" w:cs="Arial"/>
          <w:i/>
          <w:iCs/>
          <w:noProof/>
          <w:sz w:val="22"/>
          <w:szCs w:val="22"/>
        </w:rPr>
        <w:t>Hematol (United Kingdom)</w:t>
      </w:r>
      <w:r w:rsidRPr="000F1D8D">
        <w:rPr>
          <w:rFonts w:ascii="Arial" w:hAnsi="Arial" w:cs="Arial"/>
          <w:noProof/>
          <w:sz w:val="22"/>
          <w:szCs w:val="22"/>
        </w:rPr>
        <w:t>. 2019;24(1):189-198. doi:10.1080/16078454.2018.1549801</w:t>
      </w:r>
    </w:p>
    <w:p w14:paraId="7FE21265" w14:textId="77777777" w:rsidR="00463C5A" w:rsidRPr="000F1D8D" w:rsidRDefault="00463C5A" w:rsidP="00EE5008">
      <w:pPr>
        <w:widowControl w:val="0"/>
        <w:autoSpaceDE w:val="0"/>
        <w:autoSpaceDN w:val="0"/>
        <w:adjustRightInd w:val="0"/>
        <w:spacing w:line="480" w:lineRule="auto"/>
        <w:ind w:left="640" w:hanging="640"/>
        <w:rPr>
          <w:rFonts w:ascii="Arial" w:hAnsi="Arial" w:cs="Arial"/>
          <w:noProof/>
          <w:sz w:val="22"/>
          <w:szCs w:val="22"/>
        </w:rPr>
      </w:pPr>
      <w:r w:rsidRPr="000F1D8D">
        <w:rPr>
          <w:rFonts w:ascii="Arial" w:hAnsi="Arial" w:cs="Arial"/>
          <w:noProof/>
          <w:sz w:val="22"/>
          <w:szCs w:val="22"/>
        </w:rPr>
        <w:t xml:space="preserve">25. </w:t>
      </w:r>
      <w:r w:rsidRPr="000F1D8D">
        <w:rPr>
          <w:rFonts w:ascii="Arial" w:hAnsi="Arial" w:cs="Arial"/>
          <w:noProof/>
          <w:sz w:val="22"/>
          <w:szCs w:val="22"/>
        </w:rPr>
        <w:tab/>
        <w:t xml:space="preserve">Pecker LH, Kappa S, Greenfest A, Darbari DS, Nickel RS. Targeted Hydroxyurea Education after an Emergency Department Visit Increases Hydroxyurea Use in Children with Sickle Cell Anemia. </w:t>
      </w:r>
      <w:r w:rsidRPr="000F1D8D">
        <w:rPr>
          <w:rFonts w:ascii="Arial" w:hAnsi="Arial" w:cs="Arial"/>
          <w:i/>
          <w:iCs/>
          <w:noProof/>
          <w:sz w:val="22"/>
          <w:szCs w:val="22"/>
        </w:rPr>
        <w:t>J Pediatr</w:t>
      </w:r>
      <w:r w:rsidRPr="000F1D8D">
        <w:rPr>
          <w:rFonts w:ascii="Arial" w:hAnsi="Arial" w:cs="Arial"/>
          <w:noProof/>
          <w:sz w:val="22"/>
          <w:szCs w:val="22"/>
        </w:rPr>
        <w:t>. 2018;201:221-228.e16. doi:10.1016/j.jpeds.2018.05.019</w:t>
      </w:r>
    </w:p>
    <w:p w14:paraId="1EE89837" w14:textId="77777777" w:rsidR="00463C5A" w:rsidRPr="000F1D8D" w:rsidRDefault="00463C5A" w:rsidP="00EE5008">
      <w:pPr>
        <w:widowControl w:val="0"/>
        <w:autoSpaceDE w:val="0"/>
        <w:autoSpaceDN w:val="0"/>
        <w:adjustRightInd w:val="0"/>
        <w:spacing w:line="480" w:lineRule="auto"/>
        <w:ind w:left="640" w:hanging="640"/>
        <w:rPr>
          <w:rFonts w:ascii="Arial" w:hAnsi="Arial" w:cs="Arial"/>
          <w:noProof/>
          <w:sz w:val="22"/>
          <w:szCs w:val="22"/>
        </w:rPr>
      </w:pPr>
      <w:r w:rsidRPr="000F1D8D">
        <w:rPr>
          <w:rFonts w:ascii="Arial" w:hAnsi="Arial" w:cs="Arial"/>
          <w:noProof/>
          <w:sz w:val="22"/>
          <w:szCs w:val="22"/>
        </w:rPr>
        <w:t xml:space="preserve">26. </w:t>
      </w:r>
      <w:r w:rsidRPr="000F1D8D">
        <w:rPr>
          <w:rFonts w:ascii="Arial" w:hAnsi="Arial" w:cs="Arial"/>
          <w:noProof/>
          <w:sz w:val="22"/>
          <w:szCs w:val="22"/>
        </w:rPr>
        <w:tab/>
        <w:t xml:space="preserve">Anderson LM, Leonard S, Jonassaint J, Lunyera J, Bonner M, Shah N. Mobile health intervention for youth with sickle cell disease: Impact on adherence, disease knowledge, and quality of life. </w:t>
      </w:r>
      <w:r w:rsidRPr="000F1D8D">
        <w:rPr>
          <w:rFonts w:ascii="Arial" w:hAnsi="Arial" w:cs="Arial"/>
          <w:i/>
          <w:iCs/>
          <w:noProof/>
          <w:sz w:val="22"/>
          <w:szCs w:val="22"/>
        </w:rPr>
        <w:t>Pediatr Blood Cancer</w:t>
      </w:r>
      <w:r w:rsidRPr="000F1D8D">
        <w:rPr>
          <w:rFonts w:ascii="Arial" w:hAnsi="Arial" w:cs="Arial"/>
          <w:noProof/>
          <w:sz w:val="22"/>
          <w:szCs w:val="22"/>
        </w:rPr>
        <w:t>. 2018;65(8):1-9. doi:10.1002/pbc.27081</w:t>
      </w:r>
    </w:p>
    <w:p w14:paraId="5C2442A1" w14:textId="77777777" w:rsidR="00463C5A" w:rsidRPr="000F1D8D" w:rsidRDefault="00463C5A" w:rsidP="00EE5008">
      <w:pPr>
        <w:widowControl w:val="0"/>
        <w:autoSpaceDE w:val="0"/>
        <w:autoSpaceDN w:val="0"/>
        <w:adjustRightInd w:val="0"/>
        <w:spacing w:line="480" w:lineRule="auto"/>
        <w:ind w:left="640" w:hanging="640"/>
        <w:rPr>
          <w:rFonts w:ascii="Arial" w:hAnsi="Arial" w:cs="Arial"/>
          <w:noProof/>
          <w:sz w:val="22"/>
          <w:szCs w:val="22"/>
        </w:rPr>
      </w:pPr>
      <w:r w:rsidRPr="000F1D8D">
        <w:rPr>
          <w:rFonts w:ascii="Arial" w:hAnsi="Arial" w:cs="Arial"/>
          <w:noProof/>
          <w:sz w:val="22"/>
          <w:szCs w:val="22"/>
        </w:rPr>
        <w:t xml:space="preserve">27. </w:t>
      </w:r>
      <w:r w:rsidRPr="000F1D8D">
        <w:rPr>
          <w:rFonts w:ascii="Arial" w:hAnsi="Arial" w:cs="Arial"/>
          <w:noProof/>
          <w:sz w:val="22"/>
          <w:szCs w:val="22"/>
        </w:rPr>
        <w:tab/>
        <w:t xml:space="preserve">Creary S, Chisolm D, Stanek J, Hankins J, O’Brien SH. A Multidimensional Electronic Hydroxyurea Adherence Intervention for Children With Sickle Cell Disease: Single-Arm Before-After Study. </w:t>
      </w:r>
      <w:r w:rsidRPr="000F1D8D">
        <w:rPr>
          <w:rFonts w:ascii="Arial" w:hAnsi="Arial" w:cs="Arial"/>
          <w:i/>
          <w:iCs/>
          <w:noProof/>
          <w:sz w:val="22"/>
          <w:szCs w:val="22"/>
        </w:rPr>
        <w:t>JMIR mHealth uHealth</w:t>
      </w:r>
      <w:r w:rsidRPr="000F1D8D">
        <w:rPr>
          <w:rFonts w:ascii="Arial" w:hAnsi="Arial" w:cs="Arial"/>
          <w:noProof/>
          <w:sz w:val="22"/>
          <w:szCs w:val="22"/>
        </w:rPr>
        <w:t>. 2019;7(8). doi:10.2196/13452</w:t>
      </w:r>
    </w:p>
    <w:p w14:paraId="761D13B8" w14:textId="77777777" w:rsidR="00463C5A" w:rsidRPr="000F1D8D" w:rsidRDefault="00463C5A" w:rsidP="00EE5008">
      <w:pPr>
        <w:widowControl w:val="0"/>
        <w:autoSpaceDE w:val="0"/>
        <w:autoSpaceDN w:val="0"/>
        <w:adjustRightInd w:val="0"/>
        <w:spacing w:line="480" w:lineRule="auto"/>
        <w:ind w:left="640" w:hanging="640"/>
        <w:rPr>
          <w:rFonts w:ascii="Arial" w:hAnsi="Arial" w:cs="Arial"/>
          <w:noProof/>
          <w:sz w:val="22"/>
          <w:szCs w:val="22"/>
        </w:rPr>
      </w:pPr>
      <w:r w:rsidRPr="000F1D8D">
        <w:rPr>
          <w:rFonts w:ascii="Arial" w:hAnsi="Arial" w:cs="Arial"/>
          <w:noProof/>
          <w:sz w:val="22"/>
          <w:szCs w:val="22"/>
        </w:rPr>
        <w:t xml:space="preserve">28. </w:t>
      </w:r>
      <w:r w:rsidRPr="000F1D8D">
        <w:rPr>
          <w:rFonts w:ascii="Arial" w:hAnsi="Arial" w:cs="Arial"/>
          <w:noProof/>
          <w:sz w:val="22"/>
          <w:szCs w:val="22"/>
        </w:rPr>
        <w:tab/>
        <w:t xml:space="preserve">Ware R, Davis B, Schultz W, et al. TCD With Transfusions Changing to Hydroxyurea </w:t>
      </w:r>
      <w:r w:rsidRPr="000F1D8D">
        <w:rPr>
          <w:rFonts w:ascii="Arial" w:hAnsi="Arial" w:cs="Arial"/>
          <w:noProof/>
          <w:sz w:val="22"/>
          <w:szCs w:val="22"/>
        </w:rPr>
        <w:lastRenderedPageBreak/>
        <w:t xml:space="preserve">(TWiTCH): a multicentre, randomised controlled trial. </w:t>
      </w:r>
      <w:r w:rsidRPr="000F1D8D">
        <w:rPr>
          <w:rFonts w:ascii="Arial" w:hAnsi="Arial" w:cs="Arial"/>
          <w:i/>
          <w:iCs/>
          <w:noProof/>
          <w:sz w:val="22"/>
          <w:szCs w:val="22"/>
        </w:rPr>
        <w:t>Lancet</w:t>
      </w:r>
      <w:r w:rsidRPr="000F1D8D">
        <w:rPr>
          <w:rFonts w:ascii="Arial" w:hAnsi="Arial" w:cs="Arial"/>
          <w:noProof/>
          <w:sz w:val="22"/>
          <w:szCs w:val="22"/>
        </w:rPr>
        <w:t>. 2016;387(10019):661-670. doi:10.1097/CCM.0b013e31823da96d.Hydrogen</w:t>
      </w:r>
    </w:p>
    <w:p w14:paraId="548A7600" w14:textId="77777777" w:rsidR="00463C5A" w:rsidRPr="000F1D8D" w:rsidRDefault="00463C5A" w:rsidP="00EE5008">
      <w:pPr>
        <w:widowControl w:val="0"/>
        <w:autoSpaceDE w:val="0"/>
        <w:autoSpaceDN w:val="0"/>
        <w:adjustRightInd w:val="0"/>
        <w:spacing w:line="480" w:lineRule="auto"/>
        <w:ind w:left="640" w:hanging="640"/>
        <w:rPr>
          <w:rFonts w:ascii="Arial" w:hAnsi="Arial" w:cs="Arial"/>
          <w:noProof/>
          <w:sz w:val="22"/>
          <w:szCs w:val="22"/>
        </w:rPr>
      </w:pPr>
      <w:r w:rsidRPr="000F1D8D">
        <w:rPr>
          <w:rFonts w:ascii="Arial" w:hAnsi="Arial" w:cs="Arial"/>
          <w:noProof/>
          <w:sz w:val="22"/>
          <w:szCs w:val="22"/>
        </w:rPr>
        <w:t xml:space="preserve">29. </w:t>
      </w:r>
      <w:r w:rsidRPr="000F1D8D">
        <w:rPr>
          <w:rFonts w:ascii="Arial" w:hAnsi="Arial" w:cs="Arial"/>
          <w:noProof/>
          <w:sz w:val="22"/>
          <w:szCs w:val="22"/>
        </w:rPr>
        <w:tab/>
        <w:t>Lopes C, Lobo C, Pinto JFC, et al. The effect of hydroxcarbamide therapy on survival of children with sickle cell disease. doi:10.1111/bjh.12323</w:t>
      </w:r>
    </w:p>
    <w:p w14:paraId="5EDDB717" w14:textId="77777777" w:rsidR="00463C5A" w:rsidRPr="000F1D8D" w:rsidRDefault="00463C5A" w:rsidP="00EE5008">
      <w:pPr>
        <w:widowControl w:val="0"/>
        <w:autoSpaceDE w:val="0"/>
        <w:autoSpaceDN w:val="0"/>
        <w:adjustRightInd w:val="0"/>
        <w:spacing w:line="480" w:lineRule="auto"/>
        <w:ind w:left="640" w:hanging="640"/>
        <w:rPr>
          <w:rFonts w:ascii="Arial" w:hAnsi="Arial" w:cs="Arial"/>
          <w:noProof/>
          <w:sz w:val="22"/>
          <w:szCs w:val="22"/>
        </w:rPr>
      </w:pPr>
      <w:r w:rsidRPr="000F1D8D">
        <w:rPr>
          <w:rFonts w:ascii="Arial" w:hAnsi="Arial" w:cs="Arial"/>
          <w:noProof/>
          <w:sz w:val="22"/>
          <w:szCs w:val="22"/>
        </w:rPr>
        <w:t xml:space="preserve">30. </w:t>
      </w:r>
      <w:r w:rsidRPr="000F1D8D">
        <w:rPr>
          <w:rFonts w:ascii="Arial" w:hAnsi="Arial" w:cs="Arial"/>
          <w:noProof/>
          <w:sz w:val="22"/>
          <w:szCs w:val="22"/>
        </w:rPr>
        <w:tab/>
        <w:t xml:space="preserve">Quarmyne MO, Dong W, Theodore R, et al. Hydroxyurea effectiveness in children and adolescents with sickle cell anemia: A large retrospective, population-based cohort. </w:t>
      </w:r>
      <w:r w:rsidRPr="000F1D8D">
        <w:rPr>
          <w:rFonts w:ascii="Arial" w:hAnsi="Arial" w:cs="Arial"/>
          <w:i/>
          <w:iCs/>
          <w:noProof/>
          <w:sz w:val="22"/>
          <w:szCs w:val="22"/>
        </w:rPr>
        <w:t>Am J Hematol</w:t>
      </w:r>
      <w:r w:rsidRPr="000F1D8D">
        <w:rPr>
          <w:rFonts w:ascii="Arial" w:hAnsi="Arial" w:cs="Arial"/>
          <w:noProof/>
          <w:sz w:val="22"/>
          <w:szCs w:val="22"/>
        </w:rPr>
        <w:t>. 2017;92(1):77-81. doi:10.1002/ajh.24587</w:t>
      </w:r>
    </w:p>
    <w:p w14:paraId="7AC5C611" w14:textId="77777777" w:rsidR="00463C5A" w:rsidRPr="000F1D8D" w:rsidRDefault="00463C5A" w:rsidP="00EE5008">
      <w:pPr>
        <w:widowControl w:val="0"/>
        <w:autoSpaceDE w:val="0"/>
        <w:autoSpaceDN w:val="0"/>
        <w:adjustRightInd w:val="0"/>
        <w:spacing w:line="480" w:lineRule="auto"/>
        <w:ind w:left="640" w:hanging="640"/>
        <w:rPr>
          <w:rFonts w:ascii="Arial" w:hAnsi="Arial" w:cs="Arial"/>
          <w:noProof/>
          <w:sz w:val="22"/>
          <w:szCs w:val="22"/>
        </w:rPr>
      </w:pPr>
      <w:r w:rsidRPr="000F1D8D">
        <w:rPr>
          <w:rFonts w:ascii="Arial" w:hAnsi="Arial" w:cs="Arial"/>
          <w:noProof/>
          <w:sz w:val="22"/>
          <w:szCs w:val="22"/>
        </w:rPr>
        <w:t xml:space="preserve">31. </w:t>
      </w:r>
      <w:r w:rsidRPr="000F1D8D">
        <w:rPr>
          <w:rFonts w:ascii="Arial" w:hAnsi="Arial" w:cs="Arial"/>
          <w:noProof/>
          <w:sz w:val="22"/>
          <w:szCs w:val="22"/>
        </w:rPr>
        <w:tab/>
        <w:t xml:space="preserve">Rana S, Houston PE, Wang WC, et al. Hydroxyurea and growth in young children with sickle cell disease. </w:t>
      </w:r>
      <w:r w:rsidRPr="000F1D8D">
        <w:rPr>
          <w:rFonts w:ascii="Arial" w:hAnsi="Arial" w:cs="Arial"/>
          <w:i/>
          <w:iCs/>
          <w:noProof/>
          <w:sz w:val="22"/>
          <w:szCs w:val="22"/>
        </w:rPr>
        <w:t>Pediatrics</w:t>
      </w:r>
      <w:r w:rsidRPr="000F1D8D">
        <w:rPr>
          <w:rFonts w:ascii="Arial" w:hAnsi="Arial" w:cs="Arial"/>
          <w:noProof/>
          <w:sz w:val="22"/>
          <w:szCs w:val="22"/>
        </w:rPr>
        <w:t>. 2014;134(3):465-472. doi:10.1542/PEDS.2014-0917</w:t>
      </w:r>
    </w:p>
    <w:p w14:paraId="104C7CC7" w14:textId="77777777" w:rsidR="00463C5A" w:rsidRPr="000F1D8D" w:rsidRDefault="00463C5A" w:rsidP="00EE5008">
      <w:pPr>
        <w:widowControl w:val="0"/>
        <w:autoSpaceDE w:val="0"/>
        <w:autoSpaceDN w:val="0"/>
        <w:adjustRightInd w:val="0"/>
        <w:spacing w:line="480" w:lineRule="auto"/>
        <w:ind w:left="640" w:hanging="640"/>
        <w:rPr>
          <w:rFonts w:ascii="Arial" w:hAnsi="Arial" w:cs="Arial"/>
          <w:noProof/>
          <w:sz w:val="22"/>
          <w:szCs w:val="22"/>
        </w:rPr>
      </w:pPr>
      <w:r w:rsidRPr="000F1D8D">
        <w:rPr>
          <w:rFonts w:ascii="Arial" w:hAnsi="Arial" w:cs="Arial"/>
          <w:noProof/>
          <w:sz w:val="22"/>
          <w:szCs w:val="22"/>
        </w:rPr>
        <w:t xml:space="preserve">32. </w:t>
      </w:r>
      <w:r w:rsidRPr="000F1D8D">
        <w:rPr>
          <w:rFonts w:ascii="Arial" w:hAnsi="Arial" w:cs="Arial"/>
          <w:noProof/>
          <w:sz w:val="22"/>
          <w:szCs w:val="22"/>
        </w:rPr>
        <w:tab/>
        <w:t xml:space="preserve">Wang WC, Helms RW, Lynn HS, et al. Effect of hydroxyurea on growth in children with sickle cell anemia: Results of the HUG-KIDS study. </w:t>
      </w:r>
      <w:r w:rsidRPr="000F1D8D">
        <w:rPr>
          <w:rFonts w:ascii="Arial" w:hAnsi="Arial" w:cs="Arial"/>
          <w:i/>
          <w:iCs/>
          <w:noProof/>
          <w:sz w:val="22"/>
          <w:szCs w:val="22"/>
        </w:rPr>
        <w:t>J Pediatr</w:t>
      </w:r>
      <w:r w:rsidRPr="000F1D8D">
        <w:rPr>
          <w:rFonts w:ascii="Arial" w:hAnsi="Arial" w:cs="Arial"/>
          <w:noProof/>
          <w:sz w:val="22"/>
          <w:szCs w:val="22"/>
        </w:rPr>
        <w:t>. 2002;140(2):225-229. doi:10.1067/mpd.2002.121383</w:t>
      </w:r>
    </w:p>
    <w:p w14:paraId="615BA8D8" w14:textId="77777777" w:rsidR="00463C5A" w:rsidRPr="000F1D8D" w:rsidRDefault="00463C5A" w:rsidP="00EE5008">
      <w:pPr>
        <w:widowControl w:val="0"/>
        <w:autoSpaceDE w:val="0"/>
        <w:autoSpaceDN w:val="0"/>
        <w:adjustRightInd w:val="0"/>
        <w:spacing w:line="480" w:lineRule="auto"/>
        <w:ind w:left="640" w:hanging="640"/>
        <w:rPr>
          <w:rFonts w:ascii="Arial" w:hAnsi="Arial" w:cs="Arial"/>
          <w:noProof/>
          <w:sz w:val="22"/>
          <w:szCs w:val="22"/>
        </w:rPr>
      </w:pPr>
      <w:r w:rsidRPr="000F1D8D">
        <w:rPr>
          <w:rFonts w:ascii="Arial" w:hAnsi="Arial" w:cs="Arial"/>
          <w:noProof/>
          <w:sz w:val="22"/>
          <w:szCs w:val="22"/>
        </w:rPr>
        <w:t xml:space="preserve">33. </w:t>
      </w:r>
      <w:r w:rsidRPr="000F1D8D">
        <w:rPr>
          <w:rFonts w:ascii="Arial" w:hAnsi="Arial" w:cs="Arial"/>
          <w:noProof/>
          <w:sz w:val="22"/>
          <w:szCs w:val="22"/>
        </w:rPr>
        <w:tab/>
        <w:t xml:space="preserve">Thornburg CD, Files BA, Luo Z, et al. Impact of hydroxyurea on clinical events in the BABY HUG trial. </w:t>
      </w:r>
      <w:r w:rsidRPr="000F1D8D">
        <w:rPr>
          <w:rFonts w:ascii="Arial" w:hAnsi="Arial" w:cs="Arial"/>
          <w:i/>
          <w:iCs/>
          <w:noProof/>
          <w:sz w:val="22"/>
          <w:szCs w:val="22"/>
        </w:rPr>
        <w:t>Blood</w:t>
      </w:r>
      <w:r w:rsidRPr="000F1D8D">
        <w:rPr>
          <w:rFonts w:ascii="Arial" w:hAnsi="Arial" w:cs="Arial"/>
          <w:noProof/>
          <w:sz w:val="22"/>
          <w:szCs w:val="22"/>
        </w:rPr>
        <w:t>. 2012;120(22):4304-4310. doi:10.1182/blood-2012-03-419879</w:t>
      </w:r>
    </w:p>
    <w:p w14:paraId="76000FA8" w14:textId="57138106" w:rsidR="00C35D44" w:rsidRPr="000F1D8D" w:rsidRDefault="00C35D44" w:rsidP="00EE5008">
      <w:pPr>
        <w:widowControl w:val="0"/>
        <w:spacing w:line="480" w:lineRule="auto"/>
        <w:ind w:left="640" w:hanging="640"/>
        <w:jc w:val="both"/>
        <w:rPr>
          <w:rFonts w:ascii="Arial" w:eastAsia="Arial" w:hAnsi="Arial" w:cs="Arial"/>
          <w:sz w:val="22"/>
          <w:szCs w:val="22"/>
        </w:rPr>
      </w:pPr>
      <w:r w:rsidRPr="000F1D8D">
        <w:rPr>
          <w:rFonts w:ascii="Arial" w:eastAsia="Arial" w:hAnsi="Arial" w:cs="Arial"/>
          <w:sz w:val="22"/>
          <w:szCs w:val="22"/>
        </w:rPr>
        <w:fldChar w:fldCharType="end"/>
      </w:r>
    </w:p>
    <w:p w14:paraId="1FD6DF88" w14:textId="1CC0CFCC" w:rsidR="00881B63" w:rsidRPr="000F1D8D" w:rsidRDefault="00881B63" w:rsidP="00EE5008">
      <w:pPr>
        <w:spacing w:line="480" w:lineRule="auto"/>
        <w:rPr>
          <w:rFonts w:ascii="Arial" w:hAnsi="Arial" w:cs="Arial"/>
          <w:sz w:val="22"/>
          <w:szCs w:val="22"/>
        </w:rPr>
      </w:pPr>
    </w:p>
    <w:sectPr w:rsidR="00881B63" w:rsidRPr="000F1D8D" w:rsidSect="00B954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362EB" w14:textId="77777777" w:rsidR="00F26D0A" w:rsidRDefault="00F26D0A" w:rsidP="00F26D0A">
      <w:r>
        <w:separator/>
      </w:r>
    </w:p>
  </w:endnote>
  <w:endnote w:type="continuationSeparator" w:id="0">
    <w:p w14:paraId="5784F2BC" w14:textId="77777777" w:rsidR="00F26D0A" w:rsidRDefault="00F26D0A" w:rsidP="00F26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9E959" w14:textId="77777777" w:rsidR="00F26D0A" w:rsidRDefault="00F26D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1597188"/>
      <w:docPartObj>
        <w:docPartGallery w:val="Page Numbers (Bottom of Page)"/>
        <w:docPartUnique/>
      </w:docPartObj>
    </w:sdtPr>
    <w:sdtEndPr>
      <w:rPr>
        <w:noProof/>
      </w:rPr>
    </w:sdtEndPr>
    <w:sdtContent>
      <w:p w14:paraId="7EFA09FE" w14:textId="1460AB4B" w:rsidR="00F26D0A" w:rsidRDefault="00F26D0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1DB6D43" w14:textId="77777777" w:rsidR="00F26D0A" w:rsidRDefault="00F26D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205EB" w14:textId="77777777" w:rsidR="00F26D0A" w:rsidRDefault="00F26D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9B422" w14:textId="77777777" w:rsidR="00F26D0A" w:rsidRDefault="00F26D0A" w:rsidP="00F26D0A">
      <w:r>
        <w:separator/>
      </w:r>
    </w:p>
  </w:footnote>
  <w:footnote w:type="continuationSeparator" w:id="0">
    <w:p w14:paraId="0E33D067" w14:textId="77777777" w:rsidR="00F26D0A" w:rsidRDefault="00F26D0A" w:rsidP="00F26D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20B81" w14:textId="77777777" w:rsidR="00F26D0A" w:rsidRDefault="00F26D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352EC" w14:textId="77777777" w:rsidR="00F26D0A" w:rsidRDefault="00F26D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76D09" w14:textId="77777777" w:rsidR="00F26D0A" w:rsidRDefault="00F26D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7D1"/>
    <w:multiLevelType w:val="hybridMultilevel"/>
    <w:tmpl w:val="F8E04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43977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TGxtLQwMzEzNDE2MzNU0lEKTi0uzszPAykwrQUA0Xg0aSwAAAA="/>
  </w:docVars>
  <w:rsids>
    <w:rsidRoot w:val="00A87D76"/>
    <w:rsid w:val="00000432"/>
    <w:rsid w:val="00030E06"/>
    <w:rsid w:val="000F1D8D"/>
    <w:rsid w:val="001D7917"/>
    <w:rsid w:val="001F3328"/>
    <w:rsid w:val="00267709"/>
    <w:rsid w:val="002E7EC8"/>
    <w:rsid w:val="00317706"/>
    <w:rsid w:val="00325DCD"/>
    <w:rsid w:val="00334FCE"/>
    <w:rsid w:val="00394ABC"/>
    <w:rsid w:val="003A0701"/>
    <w:rsid w:val="003B2CBD"/>
    <w:rsid w:val="003F2584"/>
    <w:rsid w:val="003F621A"/>
    <w:rsid w:val="00463C5A"/>
    <w:rsid w:val="00514A1C"/>
    <w:rsid w:val="00522AE9"/>
    <w:rsid w:val="005412F7"/>
    <w:rsid w:val="005452BF"/>
    <w:rsid w:val="0058040D"/>
    <w:rsid w:val="00595A84"/>
    <w:rsid w:val="00620CF6"/>
    <w:rsid w:val="006A7853"/>
    <w:rsid w:val="006C03EC"/>
    <w:rsid w:val="006D3ECE"/>
    <w:rsid w:val="006E7BC8"/>
    <w:rsid w:val="007F722D"/>
    <w:rsid w:val="008062DC"/>
    <w:rsid w:val="00865B20"/>
    <w:rsid w:val="00881B63"/>
    <w:rsid w:val="008876C9"/>
    <w:rsid w:val="0094493A"/>
    <w:rsid w:val="00947485"/>
    <w:rsid w:val="009B3C7C"/>
    <w:rsid w:val="009C0C74"/>
    <w:rsid w:val="009E4CCF"/>
    <w:rsid w:val="00A87D76"/>
    <w:rsid w:val="00A92C0C"/>
    <w:rsid w:val="00B13F07"/>
    <w:rsid w:val="00B37FB0"/>
    <w:rsid w:val="00B9543B"/>
    <w:rsid w:val="00BA78A9"/>
    <w:rsid w:val="00BD0744"/>
    <w:rsid w:val="00BE2023"/>
    <w:rsid w:val="00BE2E02"/>
    <w:rsid w:val="00C32B22"/>
    <w:rsid w:val="00C34F95"/>
    <w:rsid w:val="00C35D44"/>
    <w:rsid w:val="00C42520"/>
    <w:rsid w:val="00C969D3"/>
    <w:rsid w:val="00D93B9B"/>
    <w:rsid w:val="00DD37EA"/>
    <w:rsid w:val="00E12132"/>
    <w:rsid w:val="00E64A53"/>
    <w:rsid w:val="00E70F82"/>
    <w:rsid w:val="00E7699E"/>
    <w:rsid w:val="00E81FB1"/>
    <w:rsid w:val="00ED40C5"/>
    <w:rsid w:val="00EE5008"/>
    <w:rsid w:val="00EE6EEF"/>
    <w:rsid w:val="00F26D0A"/>
    <w:rsid w:val="00F6486D"/>
    <w:rsid w:val="00F92D4E"/>
    <w:rsid w:val="00F94044"/>
    <w:rsid w:val="00FB0118"/>
    <w:rsid w:val="00FC25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60D00E"/>
  <w15:chartTrackingRefBased/>
  <w15:docId w15:val="{7853845F-71BC-4DB0-821A-558FEFB1E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7D76"/>
    <w:pPr>
      <w:spacing w:after="0" w:line="240" w:lineRule="auto"/>
    </w:pPr>
    <w:rPr>
      <w:rFonts w:ascii="Calibri" w:eastAsia="Calibri" w:hAnsi="Calibri" w:cs="Calibri"/>
      <w:kern w:val="0"/>
      <w:sz w:val="24"/>
      <w:szCs w:val="24"/>
      <w14:ligatures w14:val="none"/>
    </w:rPr>
  </w:style>
  <w:style w:type="paragraph" w:styleId="Heading1">
    <w:name w:val="heading 1"/>
    <w:basedOn w:val="Normal"/>
    <w:next w:val="Normal"/>
    <w:link w:val="Heading1Char"/>
    <w:uiPriority w:val="9"/>
    <w:qFormat/>
    <w:rsid w:val="00A87D76"/>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A87D76"/>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A87D76"/>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A87D76"/>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Heading5">
    <w:name w:val="heading 5"/>
    <w:basedOn w:val="Normal"/>
    <w:next w:val="Normal"/>
    <w:link w:val="Heading5Char"/>
    <w:uiPriority w:val="9"/>
    <w:semiHidden/>
    <w:unhideWhenUsed/>
    <w:qFormat/>
    <w:rsid w:val="00A87D76"/>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A87D76"/>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A87D76"/>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A87D76"/>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A87D76"/>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7D7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87D7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87D7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87D7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87D7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87D7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87D7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87D7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87D76"/>
    <w:rPr>
      <w:rFonts w:eastAsiaTheme="majorEastAsia" w:cstheme="majorBidi"/>
      <w:color w:val="272727" w:themeColor="text1" w:themeTint="D8"/>
    </w:rPr>
  </w:style>
  <w:style w:type="paragraph" w:styleId="Title">
    <w:name w:val="Title"/>
    <w:basedOn w:val="Normal"/>
    <w:next w:val="Normal"/>
    <w:link w:val="TitleChar"/>
    <w:uiPriority w:val="10"/>
    <w:qFormat/>
    <w:rsid w:val="00A87D76"/>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A87D7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87D76"/>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A87D7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87D76"/>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A87D76"/>
    <w:rPr>
      <w:i/>
      <w:iCs/>
      <w:color w:val="404040" w:themeColor="text1" w:themeTint="BF"/>
    </w:rPr>
  </w:style>
  <w:style w:type="paragraph" w:styleId="ListParagraph">
    <w:name w:val="List Paragraph"/>
    <w:basedOn w:val="Normal"/>
    <w:uiPriority w:val="34"/>
    <w:qFormat/>
    <w:rsid w:val="00A87D76"/>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seEmphasis">
    <w:name w:val="Intense Emphasis"/>
    <w:basedOn w:val="DefaultParagraphFont"/>
    <w:uiPriority w:val="21"/>
    <w:qFormat/>
    <w:rsid w:val="00A87D76"/>
    <w:rPr>
      <w:i/>
      <w:iCs/>
      <w:color w:val="0F4761" w:themeColor="accent1" w:themeShade="BF"/>
    </w:rPr>
  </w:style>
  <w:style w:type="paragraph" w:styleId="IntenseQuote">
    <w:name w:val="Intense Quote"/>
    <w:basedOn w:val="Normal"/>
    <w:next w:val="Normal"/>
    <w:link w:val="IntenseQuoteChar"/>
    <w:uiPriority w:val="30"/>
    <w:qFormat/>
    <w:rsid w:val="00A87D76"/>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A87D76"/>
    <w:rPr>
      <w:i/>
      <w:iCs/>
      <w:color w:val="0F4761" w:themeColor="accent1" w:themeShade="BF"/>
    </w:rPr>
  </w:style>
  <w:style w:type="character" w:styleId="IntenseReference">
    <w:name w:val="Intense Reference"/>
    <w:basedOn w:val="DefaultParagraphFont"/>
    <w:uiPriority w:val="32"/>
    <w:qFormat/>
    <w:rsid w:val="00A87D76"/>
    <w:rPr>
      <w:b/>
      <w:bCs/>
      <w:smallCaps/>
      <w:color w:val="0F4761" w:themeColor="accent1" w:themeShade="BF"/>
      <w:spacing w:val="5"/>
    </w:rPr>
  </w:style>
  <w:style w:type="character" w:styleId="CommentReference">
    <w:name w:val="annotation reference"/>
    <w:basedOn w:val="DefaultParagraphFont"/>
    <w:uiPriority w:val="99"/>
    <w:semiHidden/>
    <w:unhideWhenUsed/>
    <w:rsid w:val="00A87D76"/>
    <w:rPr>
      <w:sz w:val="16"/>
      <w:szCs w:val="16"/>
    </w:rPr>
  </w:style>
  <w:style w:type="paragraph" w:styleId="CommentText">
    <w:name w:val="annotation text"/>
    <w:basedOn w:val="Normal"/>
    <w:link w:val="CommentTextChar"/>
    <w:uiPriority w:val="99"/>
    <w:unhideWhenUsed/>
    <w:rsid w:val="00A87D76"/>
    <w:rPr>
      <w:rFonts w:ascii="Arial" w:eastAsia="Arial" w:hAnsi="Arial" w:cs="Arial"/>
      <w:sz w:val="20"/>
      <w:szCs w:val="20"/>
      <w:lang w:val="en"/>
    </w:rPr>
  </w:style>
  <w:style w:type="character" w:customStyle="1" w:styleId="CommentTextChar">
    <w:name w:val="Comment Text Char"/>
    <w:basedOn w:val="DefaultParagraphFont"/>
    <w:link w:val="CommentText"/>
    <w:uiPriority w:val="99"/>
    <w:rsid w:val="00A87D76"/>
    <w:rPr>
      <w:rFonts w:ascii="Arial" w:eastAsia="Arial" w:hAnsi="Arial" w:cs="Arial"/>
      <w:kern w:val="0"/>
      <w:sz w:val="20"/>
      <w:szCs w:val="20"/>
      <w:lang w:val="en"/>
      <w14:ligatures w14:val="none"/>
    </w:rPr>
  </w:style>
  <w:style w:type="paragraph" w:customStyle="1" w:styleId="EndNoteBibliography">
    <w:name w:val="EndNote Bibliography"/>
    <w:basedOn w:val="Normal"/>
    <w:link w:val="EndNoteBibliographyChar"/>
    <w:rsid w:val="00A87D76"/>
  </w:style>
  <w:style w:type="character" w:customStyle="1" w:styleId="EndNoteBibliographyChar">
    <w:name w:val="EndNote Bibliography Char"/>
    <w:basedOn w:val="DefaultParagraphFont"/>
    <w:link w:val="EndNoteBibliography"/>
    <w:rsid w:val="00A87D76"/>
    <w:rPr>
      <w:rFonts w:ascii="Calibri" w:eastAsia="Calibri" w:hAnsi="Calibri" w:cs="Calibri"/>
      <w:kern w:val="0"/>
      <w:sz w:val="24"/>
      <w:szCs w:val="24"/>
      <w14:ligatures w14:val="none"/>
    </w:rPr>
  </w:style>
  <w:style w:type="character" w:styleId="Hyperlink">
    <w:name w:val="Hyperlink"/>
    <w:basedOn w:val="DefaultParagraphFont"/>
    <w:uiPriority w:val="99"/>
    <w:unhideWhenUsed/>
    <w:rsid w:val="00A87D76"/>
    <w:rPr>
      <w:color w:val="467886" w:themeColor="hyperlink"/>
      <w:u w:val="single"/>
    </w:rPr>
  </w:style>
  <w:style w:type="paragraph" w:styleId="NormalWeb">
    <w:name w:val="Normal (Web)"/>
    <w:basedOn w:val="Normal"/>
    <w:uiPriority w:val="99"/>
    <w:semiHidden/>
    <w:unhideWhenUsed/>
    <w:rsid w:val="00A87D76"/>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A87D76"/>
    <w:rPr>
      <w:b/>
      <w:bCs/>
    </w:rPr>
  </w:style>
  <w:style w:type="character" w:styleId="LineNumber">
    <w:name w:val="line number"/>
    <w:basedOn w:val="DefaultParagraphFont"/>
    <w:uiPriority w:val="99"/>
    <w:semiHidden/>
    <w:unhideWhenUsed/>
    <w:rsid w:val="00394ABC"/>
  </w:style>
  <w:style w:type="paragraph" w:styleId="Header">
    <w:name w:val="header"/>
    <w:basedOn w:val="Normal"/>
    <w:link w:val="HeaderChar"/>
    <w:uiPriority w:val="99"/>
    <w:unhideWhenUsed/>
    <w:rsid w:val="00F26D0A"/>
    <w:pPr>
      <w:tabs>
        <w:tab w:val="center" w:pos="4680"/>
        <w:tab w:val="right" w:pos="9360"/>
      </w:tabs>
    </w:pPr>
  </w:style>
  <w:style w:type="character" w:customStyle="1" w:styleId="HeaderChar">
    <w:name w:val="Header Char"/>
    <w:basedOn w:val="DefaultParagraphFont"/>
    <w:link w:val="Header"/>
    <w:uiPriority w:val="99"/>
    <w:rsid w:val="00F26D0A"/>
    <w:rPr>
      <w:rFonts w:ascii="Calibri" w:eastAsia="Calibri" w:hAnsi="Calibri" w:cs="Calibri"/>
      <w:kern w:val="0"/>
      <w:sz w:val="24"/>
      <w:szCs w:val="24"/>
      <w14:ligatures w14:val="none"/>
    </w:rPr>
  </w:style>
  <w:style w:type="paragraph" w:styleId="Footer">
    <w:name w:val="footer"/>
    <w:basedOn w:val="Normal"/>
    <w:link w:val="FooterChar"/>
    <w:uiPriority w:val="99"/>
    <w:unhideWhenUsed/>
    <w:rsid w:val="00F26D0A"/>
    <w:pPr>
      <w:tabs>
        <w:tab w:val="center" w:pos="4680"/>
        <w:tab w:val="right" w:pos="9360"/>
      </w:tabs>
    </w:pPr>
  </w:style>
  <w:style w:type="character" w:customStyle="1" w:styleId="FooterChar">
    <w:name w:val="Footer Char"/>
    <w:basedOn w:val="DefaultParagraphFont"/>
    <w:link w:val="Footer"/>
    <w:uiPriority w:val="99"/>
    <w:rsid w:val="00F26D0A"/>
    <w:rPr>
      <w:rFonts w:ascii="Calibri" w:eastAsia="Calibri" w:hAnsi="Calibri" w:cs="Calibri"/>
      <w:kern w:val="0"/>
      <w:sz w:val="24"/>
      <w:szCs w:val="24"/>
      <w14:ligatures w14:val="none"/>
    </w:rPr>
  </w:style>
  <w:style w:type="table" w:styleId="TableGrid">
    <w:name w:val="Table Grid"/>
    <w:basedOn w:val="TableNormal"/>
    <w:uiPriority w:val="39"/>
    <w:rsid w:val="000F1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priya.sarvode@stjude.or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scdr.org/wp-content/uploads/2022/06/Final-June-10-2022-JSCDH-Publication.pd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45ED00-07AA-493C-9A29-D0BF0C55D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Pages>
  <Words>3894</Words>
  <Characters>195576</Characters>
  <Application>Microsoft Office Word</Application>
  <DocSecurity>0</DocSecurity>
  <Lines>1629</Lines>
  <Paragraphs>398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Sarvode, Supriya</dc:creator>
  <cp:keywords/>
  <dc:description/>
  <cp:lastModifiedBy>Sarvode, Supriya</cp:lastModifiedBy>
  <cp:revision>11</cp:revision>
  <dcterms:created xsi:type="dcterms:W3CDTF">2024-03-09T22:54:00Z</dcterms:created>
  <dcterms:modified xsi:type="dcterms:W3CDTF">2024-03-11T15:13:00Z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bb76f0e5-f215-4b6c-8dd8-85c0b2858d03</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7th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 6th edition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10th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8th edition</vt:lpwstr>
  </property>
  <property fmtid="{D5CDD505-2E9C-101B-9397-08002B2CF9AE}" pid="21" name="Mendeley Recent Style Id 9_1">
    <vt:lpwstr>http://www.zotero.org/styles/vancouver</vt:lpwstr>
  </property>
  <property fmtid="{D5CDD505-2E9C-101B-9397-08002B2CF9AE}" pid="22" name="Mendeley Recent Style Name 9_1">
    <vt:lpwstr>Vancouver</vt:lpwstr>
  </property>
  <property fmtid="{D5CDD505-2E9C-101B-9397-08002B2CF9AE}" pid="23" name="Mendeley Document_1">
    <vt:lpwstr>True</vt:lpwstr>
  </property>
  <property fmtid="{D5CDD505-2E9C-101B-9397-08002B2CF9AE}" pid="24" name="Mendeley Unique User Id_1">
    <vt:lpwstr>28217c15-c6c6-3739-8eda-354e6e60da2b</vt:lpwstr>
  </property>
  <property fmtid="{D5CDD505-2E9C-101B-9397-08002B2CF9AE}" pid="25" name="Mendeley Citation Style_1">
    <vt:lpwstr>http://www.zotero.org/styles/american-medical-association</vt:lpwstr>
  </property>
</Properties>
</file>